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Theme="majorEastAsia" w:hAnsiTheme="majorEastAsia" w:eastAsiaTheme="majorEastAsia" w:cstheme="majorEastAsia"/>
          <w:b/>
          <w:color w:val="333333"/>
          <w:sz w:val="32"/>
          <w:szCs w:val="32"/>
          <w:shd w:val="clear" w:color="auto" w:fill="FFFFFF"/>
          <w:lang w:val="en-US" w:eastAsia="zh-CN"/>
        </w:rPr>
        <w:t>黑龙江省絮用纤维制品产品质量省级监督抽查实施细则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Theme="majorEastAsia" w:hAnsiTheme="majorEastAsia" w:eastAsiaTheme="majorEastAsia" w:cstheme="majorEastAsia"/>
          <w:b/>
          <w:color w:val="333333"/>
          <w:sz w:val="32"/>
          <w:szCs w:val="32"/>
          <w:shd w:val="clear" w:color="auto" w:fill="FFFFFF"/>
          <w:lang w:val="en-US" w:eastAsia="zh-CN"/>
        </w:rPr>
      </w:pPr>
      <w:bookmarkStart w:id="0" w:name="_GoBack"/>
      <w:bookmarkEnd w:id="0"/>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p>
    <w:p>
      <w:pPr>
        <w:pStyle w:val="2"/>
        <w:widowControl/>
        <w:spacing w:beforeAutospacing="0" w:afterAutospacing="0"/>
        <w:jc w:val="both"/>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1 抽样方法</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以随机抽样的方式在被抽样生产者、销售者的待销产品中抽取。</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随机数一般可使用随机数表等方法产生。</w:t>
      </w:r>
    </w:p>
    <w:p>
      <w:pPr>
        <w:pStyle w:val="2"/>
        <w:widowControl/>
        <w:spacing w:beforeAutospacing="0" w:afterAutospacing="0"/>
        <w:ind w:firstLine="640" w:firstLineChars="200"/>
        <w:jc w:val="center"/>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抽取样品数量表</w:t>
      </w:r>
    </w:p>
    <w:tbl>
      <w:tblPr>
        <w:tblStyle w:val="4"/>
        <w:tblW w:w="8199" w:type="dxa"/>
        <w:jc w:val="center"/>
        <w:tblInd w:w="925" w:type="dxa"/>
        <w:tblLayout w:type="fixed"/>
        <w:tblCellMar>
          <w:top w:w="0" w:type="dxa"/>
          <w:left w:w="45" w:type="dxa"/>
          <w:bottom w:w="0" w:type="dxa"/>
          <w:right w:w="45" w:type="dxa"/>
        </w:tblCellMar>
      </w:tblPr>
      <w:tblGrid>
        <w:gridCol w:w="768"/>
        <w:gridCol w:w="1746"/>
        <w:gridCol w:w="1769"/>
        <w:gridCol w:w="2082"/>
        <w:gridCol w:w="1834"/>
      </w:tblGrid>
      <w:tr>
        <w:tblPrEx>
          <w:tblLayout w:type="fixed"/>
          <w:tblCellMar>
            <w:top w:w="0" w:type="dxa"/>
            <w:left w:w="45" w:type="dxa"/>
            <w:bottom w:w="0" w:type="dxa"/>
            <w:right w:w="45" w:type="dxa"/>
          </w:tblCellMar>
        </w:tblPrEx>
        <w:trPr>
          <w:trHeight w:val="23" w:hRule="atLeast"/>
          <w:jc w:val="center"/>
        </w:trPr>
        <w:tc>
          <w:tcPr>
            <w:tcW w:w="768" w:type="dxa"/>
            <w:tcBorders>
              <w:top w:val="single" w:color="000000" w:sz="6" w:space="0"/>
              <w:left w:val="single" w:color="000000" w:sz="6" w:space="0"/>
              <w:bottom w:val="single" w:color="000000" w:sz="2" w:space="0"/>
              <w:right w:val="single" w:color="000000" w:sz="2"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both"/>
              <w:textAlignment w:val="auto"/>
              <w:outlineLvl w:val="9"/>
              <w:rPr>
                <w:rFonts w:hint="eastAsia" w:ascii="仿宋_GB2312" w:hAnsi="仿宋_GB2312" w:eastAsia="仿宋_GB2312" w:cs="仿宋_GB2312"/>
                <w:b w:val="0"/>
                <w:bCs w:val="0"/>
                <w:color w:val="333333"/>
                <w:sz w:val="28"/>
                <w:szCs w:val="28"/>
                <w:shd w:val="clear" w:color="auto" w:fill="FFFFFF"/>
                <w:lang w:val="en-US" w:eastAsia="zh-CN"/>
              </w:rPr>
            </w:pPr>
            <w:r>
              <w:rPr>
                <w:rFonts w:hint="eastAsia" w:ascii="仿宋_GB2312" w:hAnsi="仿宋_GB2312" w:eastAsia="仿宋_GB2312" w:cs="仿宋_GB2312"/>
                <w:b w:val="0"/>
                <w:bCs w:val="0"/>
                <w:color w:val="333333"/>
                <w:sz w:val="28"/>
                <w:szCs w:val="28"/>
                <w:shd w:val="clear" w:color="auto" w:fill="FFFFFF"/>
                <w:lang w:val="en-US" w:eastAsia="zh-CN"/>
              </w:rPr>
              <w:t>序号</w:t>
            </w:r>
          </w:p>
        </w:tc>
        <w:tc>
          <w:tcPr>
            <w:tcW w:w="1746" w:type="dxa"/>
            <w:tcBorders>
              <w:top w:val="single" w:color="000000" w:sz="6" w:space="0"/>
              <w:left w:val="single" w:color="000000" w:sz="6" w:space="0"/>
              <w:bottom w:val="single" w:color="000000" w:sz="2" w:space="0"/>
              <w:right w:val="single" w:color="000000" w:sz="2"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仿宋_GB2312" w:hAnsi="仿宋_GB2312" w:eastAsia="仿宋_GB2312" w:cs="仿宋_GB2312"/>
                <w:b w:val="0"/>
                <w:bCs w:val="0"/>
                <w:color w:val="333333"/>
                <w:sz w:val="28"/>
                <w:szCs w:val="28"/>
                <w:shd w:val="clear" w:color="auto" w:fill="FFFFFF"/>
              </w:rPr>
            </w:pPr>
            <w:r>
              <w:rPr>
                <w:rFonts w:hint="eastAsia" w:ascii="仿宋_GB2312" w:hAnsi="仿宋_GB2312" w:eastAsia="仿宋_GB2312" w:cs="仿宋_GB2312"/>
                <w:b w:val="0"/>
                <w:bCs w:val="0"/>
                <w:color w:val="333333"/>
                <w:sz w:val="28"/>
                <w:szCs w:val="28"/>
                <w:shd w:val="clear" w:color="auto" w:fill="FFFFFF"/>
              </w:rPr>
              <w:t>产品种类</w:t>
            </w:r>
          </w:p>
        </w:tc>
        <w:tc>
          <w:tcPr>
            <w:tcW w:w="1769" w:type="dxa"/>
            <w:tcBorders>
              <w:top w:val="single" w:color="000000" w:sz="6" w:space="0"/>
              <w:left w:val="single" w:color="000000" w:sz="2" w:space="0"/>
              <w:bottom w:val="single" w:color="000000" w:sz="2" w:space="0"/>
              <w:right w:val="single" w:color="000000" w:sz="6"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both"/>
              <w:textAlignment w:val="auto"/>
              <w:outlineLvl w:val="9"/>
              <w:rPr>
                <w:rFonts w:hint="eastAsia" w:ascii="仿宋_GB2312" w:hAnsi="仿宋_GB2312" w:eastAsia="仿宋_GB2312" w:cs="仿宋_GB2312"/>
                <w:b w:val="0"/>
                <w:bCs w:val="0"/>
                <w:color w:val="333333"/>
                <w:sz w:val="28"/>
                <w:szCs w:val="28"/>
                <w:shd w:val="clear" w:color="auto" w:fill="FFFFFF"/>
              </w:rPr>
            </w:pPr>
            <w:r>
              <w:rPr>
                <w:rFonts w:hint="eastAsia" w:ascii="仿宋_GB2312" w:hAnsi="仿宋_GB2312" w:eastAsia="仿宋_GB2312" w:cs="仿宋_GB2312"/>
                <w:b w:val="0"/>
                <w:bCs w:val="0"/>
                <w:color w:val="333333"/>
                <w:sz w:val="28"/>
                <w:szCs w:val="28"/>
                <w:shd w:val="clear" w:color="auto" w:fill="FFFFFF"/>
              </w:rPr>
              <w:t>抽样数量（kg）</w:t>
            </w:r>
          </w:p>
        </w:tc>
        <w:tc>
          <w:tcPr>
            <w:tcW w:w="2082" w:type="dxa"/>
            <w:tcBorders>
              <w:top w:val="single" w:color="000000" w:sz="6" w:space="0"/>
              <w:left w:val="single" w:color="000000" w:sz="2" w:space="0"/>
              <w:bottom w:val="single" w:color="000000" w:sz="2" w:space="0"/>
              <w:right w:val="single" w:color="000000" w:sz="6"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仿宋_GB2312" w:hAnsi="仿宋_GB2312" w:eastAsia="仿宋_GB2312" w:cs="仿宋_GB2312"/>
                <w:b w:val="0"/>
                <w:bCs w:val="0"/>
                <w:color w:val="333333"/>
                <w:sz w:val="28"/>
                <w:szCs w:val="28"/>
                <w:shd w:val="clear" w:color="auto" w:fill="FFFFFF"/>
              </w:rPr>
            </w:pPr>
            <w:r>
              <w:rPr>
                <w:rFonts w:hint="eastAsia" w:ascii="仿宋_GB2312" w:hAnsi="仿宋_GB2312" w:eastAsia="仿宋_GB2312" w:cs="仿宋_GB2312"/>
                <w:b w:val="0"/>
                <w:bCs w:val="0"/>
                <w:color w:val="333333"/>
                <w:sz w:val="28"/>
                <w:szCs w:val="28"/>
                <w:shd w:val="clear" w:color="auto" w:fill="FFFFFF"/>
              </w:rPr>
              <w:t>检验样品数量（kg）</w:t>
            </w:r>
          </w:p>
        </w:tc>
        <w:tc>
          <w:tcPr>
            <w:tcW w:w="1834" w:type="dxa"/>
            <w:tcBorders>
              <w:top w:val="single" w:color="000000" w:sz="6" w:space="0"/>
              <w:left w:val="single" w:color="000000" w:sz="2" w:space="0"/>
              <w:bottom w:val="single" w:color="000000" w:sz="2" w:space="0"/>
              <w:right w:val="single" w:color="000000" w:sz="6"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仿宋_GB2312" w:hAnsi="仿宋_GB2312" w:eastAsia="仿宋_GB2312" w:cs="仿宋_GB2312"/>
                <w:b w:val="0"/>
                <w:bCs w:val="0"/>
                <w:color w:val="333333"/>
                <w:sz w:val="28"/>
                <w:szCs w:val="28"/>
                <w:shd w:val="clear" w:color="auto" w:fill="FFFFFF"/>
              </w:rPr>
            </w:pPr>
            <w:r>
              <w:rPr>
                <w:rFonts w:hint="eastAsia" w:ascii="仿宋_GB2312" w:hAnsi="仿宋_GB2312" w:eastAsia="仿宋_GB2312" w:cs="仿宋_GB2312"/>
                <w:b w:val="0"/>
                <w:bCs w:val="0"/>
                <w:color w:val="333333"/>
                <w:sz w:val="28"/>
                <w:szCs w:val="28"/>
                <w:shd w:val="clear" w:color="auto" w:fill="FFFFFF"/>
              </w:rPr>
              <w:t>备用样品数量（kg）</w:t>
            </w:r>
          </w:p>
        </w:tc>
      </w:tr>
      <w:tr>
        <w:tblPrEx>
          <w:tblLayout w:type="fixed"/>
          <w:tblCellMar>
            <w:top w:w="0" w:type="dxa"/>
            <w:left w:w="45" w:type="dxa"/>
            <w:bottom w:w="0" w:type="dxa"/>
            <w:right w:w="45" w:type="dxa"/>
          </w:tblCellMar>
        </w:tblPrEx>
        <w:trPr>
          <w:trHeight w:val="519" w:hRule="atLeast"/>
          <w:jc w:val="center"/>
        </w:trPr>
        <w:tc>
          <w:tcPr>
            <w:tcW w:w="768" w:type="dxa"/>
            <w:tcBorders>
              <w:top w:val="single" w:color="000000" w:sz="2" w:space="0"/>
              <w:left w:val="single" w:color="000000" w:sz="6" w:space="0"/>
              <w:bottom w:val="single" w:color="000000" w:sz="2" w:space="0"/>
              <w:right w:val="single" w:color="000000" w:sz="2"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b w:val="0"/>
                <w:bCs w:val="0"/>
                <w:color w:val="333333"/>
                <w:sz w:val="28"/>
                <w:szCs w:val="28"/>
                <w:shd w:val="clear" w:color="auto" w:fill="FFFFFF"/>
              </w:rPr>
            </w:pPr>
            <w:r>
              <w:rPr>
                <w:rFonts w:hint="eastAsia" w:ascii="仿宋_GB2312" w:hAnsi="仿宋_GB2312" w:eastAsia="仿宋_GB2312" w:cs="仿宋_GB2312"/>
                <w:b w:val="0"/>
                <w:bCs w:val="0"/>
                <w:color w:val="333333"/>
                <w:sz w:val="28"/>
                <w:szCs w:val="28"/>
                <w:shd w:val="clear" w:color="auto" w:fill="FFFFFF"/>
              </w:rPr>
              <w:t>1</w:t>
            </w:r>
          </w:p>
        </w:tc>
        <w:tc>
          <w:tcPr>
            <w:tcW w:w="1746" w:type="dxa"/>
            <w:tcBorders>
              <w:top w:val="single" w:color="000000" w:sz="2" w:space="0"/>
              <w:left w:val="single" w:color="000000" w:sz="6" w:space="0"/>
              <w:bottom w:val="single" w:color="000000" w:sz="2" w:space="0"/>
              <w:right w:val="single" w:color="000000" w:sz="2"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仿宋_GB2312" w:hAnsi="仿宋_GB2312" w:eastAsia="仿宋_GB2312" w:cs="仿宋_GB2312"/>
                <w:b w:val="0"/>
                <w:bCs w:val="0"/>
                <w:color w:val="333333"/>
                <w:sz w:val="28"/>
                <w:szCs w:val="28"/>
                <w:shd w:val="clear" w:color="auto" w:fill="FFFFFF"/>
              </w:rPr>
            </w:pPr>
            <w:r>
              <w:rPr>
                <w:rFonts w:hint="eastAsia" w:ascii="仿宋_GB2312" w:hAnsi="仿宋_GB2312" w:eastAsia="仿宋_GB2312" w:cs="仿宋_GB2312"/>
                <w:b w:val="0"/>
                <w:bCs w:val="0"/>
                <w:color w:val="333333"/>
                <w:sz w:val="28"/>
                <w:szCs w:val="28"/>
                <w:shd w:val="clear" w:color="auto" w:fill="FFFFFF"/>
              </w:rPr>
              <w:t>絮用纤维</w:t>
            </w:r>
          </w:p>
        </w:tc>
        <w:tc>
          <w:tcPr>
            <w:tcW w:w="1769" w:type="dxa"/>
            <w:tcBorders>
              <w:top w:val="single" w:color="000000" w:sz="2" w:space="0"/>
              <w:left w:val="single" w:color="000000" w:sz="2" w:space="0"/>
              <w:bottom w:val="single" w:color="000000" w:sz="2" w:space="0"/>
              <w:right w:val="single" w:color="000000" w:sz="6"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b w:val="0"/>
                <w:bCs w:val="0"/>
                <w:color w:val="333333"/>
                <w:sz w:val="28"/>
                <w:szCs w:val="28"/>
                <w:shd w:val="clear" w:color="auto" w:fill="FFFFFF"/>
              </w:rPr>
            </w:pPr>
            <w:r>
              <w:rPr>
                <w:rFonts w:hint="eastAsia" w:ascii="仿宋_GB2312" w:hAnsi="仿宋_GB2312" w:eastAsia="仿宋_GB2312" w:cs="仿宋_GB2312"/>
                <w:b w:val="0"/>
                <w:bCs w:val="0"/>
                <w:color w:val="333333"/>
                <w:sz w:val="28"/>
                <w:szCs w:val="28"/>
                <w:shd w:val="clear" w:color="auto" w:fill="FFFFFF"/>
              </w:rPr>
              <w:t>2</w:t>
            </w:r>
          </w:p>
        </w:tc>
        <w:tc>
          <w:tcPr>
            <w:tcW w:w="2082" w:type="dxa"/>
            <w:tcBorders>
              <w:top w:val="single" w:color="000000" w:sz="2" w:space="0"/>
              <w:left w:val="single" w:color="000000" w:sz="2" w:space="0"/>
              <w:bottom w:val="single" w:color="000000" w:sz="2" w:space="0"/>
              <w:right w:val="single" w:color="000000" w:sz="6"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b w:val="0"/>
                <w:bCs w:val="0"/>
                <w:color w:val="333333"/>
                <w:sz w:val="28"/>
                <w:szCs w:val="28"/>
                <w:shd w:val="clear" w:color="auto" w:fill="FFFFFF"/>
              </w:rPr>
            </w:pPr>
            <w:r>
              <w:rPr>
                <w:rFonts w:hint="eastAsia" w:ascii="仿宋_GB2312" w:hAnsi="仿宋_GB2312" w:eastAsia="仿宋_GB2312" w:cs="仿宋_GB2312"/>
                <w:b w:val="0"/>
                <w:bCs w:val="0"/>
                <w:color w:val="333333"/>
                <w:sz w:val="28"/>
                <w:szCs w:val="28"/>
                <w:shd w:val="clear" w:color="auto" w:fill="FFFFFF"/>
              </w:rPr>
              <w:t>1</w:t>
            </w:r>
          </w:p>
        </w:tc>
        <w:tc>
          <w:tcPr>
            <w:tcW w:w="1834" w:type="dxa"/>
            <w:tcBorders>
              <w:top w:val="single" w:color="000000" w:sz="2" w:space="0"/>
              <w:left w:val="single" w:color="000000" w:sz="2" w:space="0"/>
              <w:bottom w:val="single" w:color="000000" w:sz="2" w:space="0"/>
              <w:right w:val="single" w:color="000000" w:sz="6"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b w:val="0"/>
                <w:bCs w:val="0"/>
                <w:color w:val="333333"/>
                <w:sz w:val="28"/>
                <w:szCs w:val="28"/>
                <w:shd w:val="clear" w:color="auto" w:fill="FFFFFF"/>
              </w:rPr>
            </w:pPr>
            <w:r>
              <w:rPr>
                <w:rFonts w:hint="eastAsia" w:ascii="仿宋_GB2312" w:hAnsi="仿宋_GB2312" w:eastAsia="仿宋_GB2312" w:cs="仿宋_GB2312"/>
                <w:b w:val="0"/>
                <w:bCs w:val="0"/>
                <w:color w:val="333333"/>
                <w:sz w:val="28"/>
                <w:szCs w:val="28"/>
                <w:shd w:val="clear" w:color="auto" w:fill="FFFFFF"/>
              </w:rPr>
              <w:t>1</w:t>
            </w:r>
          </w:p>
        </w:tc>
      </w:tr>
    </w:tbl>
    <w:p>
      <w:pPr>
        <w:pStyle w:val="2"/>
        <w:widowControl/>
        <w:spacing w:beforeAutospacing="0" w:afterAutospacing="0"/>
        <w:jc w:val="both"/>
        <w:rPr>
          <w:rFonts w:hint="eastAsia" w:ascii="仿宋_GB2312" w:hAnsi="仿宋_GB2312" w:eastAsia="仿宋_GB2312" w:cs="仿宋_GB2312"/>
          <w:b/>
          <w:bCs/>
          <w:color w:val="333333"/>
          <w:sz w:val="32"/>
          <w:szCs w:val="32"/>
          <w:shd w:val="clear" w:color="auto" w:fill="FFFFFF"/>
        </w:rPr>
      </w:pPr>
    </w:p>
    <w:p>
      <w:pPr>
        <w:pStyle w:val="2"/>
        <w:widowControl/>
        <w:spacing w:beforeAutospacing="0" w:afterAutospacing="0"/>
        <w:jc w:val="both"/>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2 检验依据</w:t>
      </w:r>
    </w:p>
    <w:p>
      <w:pPr>
        <w:pStyle w:val="2"/>
        <w:widowControl/>
        <w:spacing w:beforeAutospacing="0" w:afterAutospacing="0"/>
        <w:jc w:val="both"/>
        <w:rPr>
          <w:rFonts w:hint="eastAsia" w:ascii="仿宋_GB2312" w:hAnsi="仿宋_GB2312" w:eastAsia="仿宋_GB2312" w:cs="仿宋_GB2312"/>
          <w:b/>
          <w:bCs/>
          <w:color w:val="333333"/>
          <w:sz w:val="32"/>
          <w:szCs w:val="32"/>
          <w:shd w:val="clear" w:color="auto" w:fill="FFFFFF"/>
        </w:rPr>
      </w:pPr>
    </w:p>
    <w:tbl>
      <w:tblPr>
        <w:tblStyle w:val="4"/>
        <w:tblW w:w="8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2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959"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4120"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3350"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短纤维含量</w:t>
            </w:r>
          </w:p>
        </w:tc>
        <w:tc>
          <w:tcPr>
            <w:tcW w:w="335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18383-2007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含杂率</w:t>
            </w:r>
          </w:p>
        </w:tc>
        <w:tc>
          <w:tcPr>
            <w:tcW w:w="335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18383-2007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纤维含量</w:t>
            </w:r>
          </w:p>
        </w:tc>
        <w:tc>
          <w:tcPr>
            <w:tcW w:w="335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01057.1-2007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01057.2-2007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01057.3-2007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01057.4-2007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2910.2-2009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2910.3-2009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2910.4-2009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2910.6-2009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2910.7-2009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2910.8-2009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2910.11-2009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2910.12-2009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2910.18-2009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2910.20-2009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2910.22-2009</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2910.101-2009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01101-2008</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01026-2017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01095-2002</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30003-2009</w:t>
            </w:r>
          </w:p>
        </w:tc>
      </w:tr>
    </w:tbl>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640" w:firstLineChars="200"/>
        <w:jc w:val="both"/>
        <w:textAlignment w:val="auto"/>
        <w:outlineLvl w:val="9"/>
        <w:rPr>
          <w:rFonts w:hint="eastAsia" w:ascii="仿宋_GB2312" w:hAnsi="仿宋_GB2312" w:eastAsia="仿宋_GB2312" w:cs="仿宋_GB2312"/>
          <w:b w:val="0"/>
          <w:bCs w:val="0"/>
          <w:color w:val="333333"/>
          <w:sz w:val="32"/>
          <w:szCs w:val="32"/>
          <w:shd w:val="clear" w:color="auto" w:fill="FFFFFF"/>
        </w:rPr>
      </w:pP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执行企业标准、团体标准、地方标准的产品，检验项目参照上述内容执行。</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凡是注日期的文件，其随后所有的修改单（不包括勘误的内容）或修订版不适用于本细则。凡是不注日期的文件，其最新版本适用于本细则。</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p>
    <w:p>
      <w:pPr>
        <w:pStyle w:val="2"/>
        <w:widowControl/>
        <w:spacing w:beforeAutospacing="0" w:afterAutospacing="0"/>
        <w:jc w:val="both"/>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3 判定规则</w:t>
      </w:r>
    </w:p>
    <w:p>
      <w:pPr>
        <w:pStyle w:val="2"/>
        <w:widowControl/>
        <w:spacing w:beforeAutospacing="0" w:afterAutospacing="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3.1依据标准</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GB 18383-2007</w:t>
      </w:r>
      <w:r>
        <w:rPr>
          <w:rFonts w:hint="eastAsia" w:ascii="仿宋_GB2312" w:hAnsi="仿宋_GB2312" w:eastAsia="仿宋_GB2312" w:cs="仿宋_GB2312"/>
          <w:b w:val="0"/>
          <w:bCs w:val="0"/>
          <w:color w:val="333333"/>
          <w:sz w:val="32"/>
          <w:szCs w:val="32"/>
          <w:shd w:val="clear" w:color="auto" w:fill="FFFFFF"/>
          <w:lang w:val="en-US" w:eastAsia="zh-CN"/>
        </w:rPr>
        <w:t xml:space="preserve">  </w:t>
      </w:r>
      <w:r>
        <w:rPr>
          <w:rFonts w:hint="eastAsia" w:ascii="仿宋_GB2312" w:hAnsi="仿宋_GB2312" w:eastAsia="仿宋_GB2312" w:cs="仿宋_GB2312"/>
          <w:b w:val="0"/>
          <w:bCs w:val="0"/>
          <w:color w:val="333333"/>
          <w:sz w:val="32"/>
          <w:szCs w:val="32"/>
          <w:shd w:val="clear" w:color="auto" w:fill="FFFFFF"/>
        </w:rPr>
        <w:t>絮用纤维制品通用技术要求</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GB 18401-2010</w:t>
      </w:r>
      <w:r>
        <w:rPr>
          <w:rFonts w:hint="eastAsia" w:ascii="仿宋_GB2312" w:hAnsi="仿宋_GB2312" w:eastAsia="仿宋_GB2312" w:cs="仿宋_GB2312"/>
          <w:b w:val="0"/>
          <w:bCs w:val="0"/>
          <w:color w:val="333333"/>
          <w:sz w:val="32"/>
          <w:szCs w:val="32"/>
          <w:shd w:val="clear" w:color="auto" w:fill="FFFFFF"/>
          <w:lang w:val="en-US" w:eastAsia="zh-CN"/>
        </w:rPr>
        <w:t xml:space="preserve">  </w:t>
      </w:r>
      <w:r>
        <w:rPr>
          <w:rFonts w:hint="eastAsia" w:ascii="仿宋_GB2312" w:hAnsi="仿宋_GB2312" w:eastAsia="仿宋_GB2312" w:cs="仿宋_GB2312"/>
          <w:b w:val="0"/>
          <w:bCs w:val="0"/>
          <w:color w:val="333333"/>
          <w:sz w:val="32"/>
          <w:szCs w:val="32"/>
          <w:shd w:val="clear" w:color="auto" w:fill="FFFFFF"/>
        </w:rPr>
        <w:t>国家纺织产品基本安全技术规范</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现行有效的企业标准、团体标准、地方标准及产品明示质量要求</w:t>
      </w:r>
    </w:p>
    <w:p>
      <w:pPr>
        <w:pStyle w:val="2"/>
        <w:widowControl/>
        <w:spacing w:beforeAutospacing="0" w:afterAutospacing="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3.2判定原则</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lang w:eastAsia="zh-CN"/>
        </w:rPr>
      </w:pPr>
      <w:r>
        <w:rPr>
          <w:rFonts w:hint="eastAsia" w:ascii="仿宋_GB2312" w:hAnsi="仿宋_GB2312" w:eastAsia="仿宋_GB2312" w:cs="仿宋_GB2312"/>
          <w:b w:val="0"/>
          <w:bCs w:val="0"/>
          <w:color w:val="333333"/>
          <w:sz w:val="32"/>
          <w:szCs w:val="32"/>
          <w:shd w:val="clear" w:color="auto" w:fill="FFFFFF"/>
          <w:lang w:eastAsia="zh-CN"/>
        </w:rPr>
        <w:t>根据</w:t>
      </w:r>
      <w:r>
        <w:rPr>
          <w:rFonts w:hint="eastAsia" w:ascii="仿宋_GB2312" w:hAnsi="仿宋_GB2312" w:eastAsia="仿宋_GB2312" w:cs="仿宋_GB2312"/>
          <w:b w:val="0"/>
          <w:bCs w:val="0"/>
          <w:color w:val="333333"/>
          <w:sz w:val="32"/>
          <w:szCs w:val="32"/>
          <w:shd w:val="clear" w:color="auto" w:fill="FFFFFF"/>
        </w:rPr>
        <w:t>GB 18383-2007</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GB 18401-2010</w:t>
      </w:r>
      <w:r>
        <w:rPr>
          <w:rFonts w:hint="eastAsia" w:ascii="仿宋_GB2312" w:hAnsi="仿宋_GB2312" w:eastAsia="仿宋_GB2312" w:cs="仿宋_GB2312"/>
          <w:b w:val="0"/>
          <w:bCs w:val="0"/>
          <w:color w:val="333333"/>
          <w:sz w:val="32"/>
          <w:szCs w:val="32"/>
          <w:shd w:val="clear" w:color="auto" w:fill="FFFFFF"/>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若被检产品明示的质量要求高于本细则中检验项目依据的标准要求时，应按被检产品明示的质量要求判定。</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若被检产品明示的质量要求低于本细则中检验项目依据的强制性标准要求时，应按照强制性标准要求判定。</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若被检产品明示的质量要求低于或包含本细则中检验项目依据的推荐性标准要求时，应以被检产品明示的质量要求判定。</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若被检产品明示的质量要求缺少本细则中检验项目依据的推荐性标准要求时，该项目不参与判定</w:t>
      </w:r>
      <w:r>
        <w:rPr>
          <w:rFonts w:hint="eastAsia" w:ascii="仿宋_GB2312" w:hAnsi="仿宋_GB2312" w:eastAsia="仿宋_GB2312" w:cs="仿宋_GB2312"/>
          <w:color w:val="000000"/>
          <w:sz w:val="32"/>
          <w:szCs w:val="32"/>
          <w:shd w:val="clear" w:color="auto" w:fill="FFFFFF"/>
        </w:rPr>
        <w:t>，但应在检验报告备注中进行说明。</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9688C"/>
    <w:rsid w:val="0B2E5402"/>
    <w:rsid w:val="16B3166D"/>
    <w:rsid w:val="280D6B67"/>
    <w:rsid w:val="37C9688C"/>
    <w:rsid w:val="3F7703D9"/>
    <w:rsid w:val="5DFC7383"/>
    <w:rsid w:val="7AC05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2020-08-13T08:50:00Z</dcterms:created>
  <dc:creator>徐立君</dc:creator>
  <cp:lastModifiedBy>王鑫</cp:lastModifiedBy>
  <dcterms:modified xsi:type="dcterms:W3CDTF">2021-03-15T01:41:50Z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