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sz w:val="32"/>
          <w:szCs w:val="32"/>
          <w:lang w:val="en-US" w:eastAsia="zh-CN"/>
        </w:rPr>
        <w:t>黑龙江省眼镜镜片产品质量省级监督抽查实施细则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color w:val="000000"/>
          <w:sz w:val="32"/>
          <w:szCs w:val="32"/>
          <w:lang w:val="en-US" w:eastAsia="zh-CN"/>
        </w:rPr>
      </w:pPr>
      <w:bookmarkStart w:id="0" w:name="_GoBack"/>
      <w:bookmarkEnd w:id="0"/>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树脂镜片产品每批次抽取样品16片，其中8片作为检验样品，8片作为备用样品。玻璃镜片/车房片产品每批次抽取样品6片，其中3片作为检验样品，3片作为备用样品。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p>
      <w:pPr>
        <w:pStyle w:val="2"/>
        <w:widowControl/>
        <w:shd w:val="clear" w:color="auto" w:fill="FFFFFF"/>
        <w:spacing w:beforeAutospacing="0" w:afterAutospacing="0"/>
        <w:ind w:right="45" w:firstLine="640" w:firstLineChars="200"/>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表1 单光和多焦点树脂镜片</w:t>
      </w:r>
    </w:p>
    <w:tbl>
      <w:tblPr>
        <w:tblStyle w:val="4"/>
        <w:tblW w:w="81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06"/>
        <w:gridCol w:w="2561"/>
        <w:gridCol w:w="343"/>
        <w:gridCol w:w="1714"/>
        <w:gridCol w:w="25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20" w:hRule="atLeast"/>
          <w:tblHeader/>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球镜顶焦度偏差（主子午面一）</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球镜顶焦度偏差（主子午面二）</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柱镜顶焦度偏差</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柱镜轴位方向偏差</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904" w:type="dxa"/>
            <w:gridSpan w:val="2"/>
            <w:vMerge w:val="restart"/>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光学中心和棱镜度偏差</w:t>
            </w:r>
          </w:p>
        </w:tc>
        <w:tc>
          <w:tcPr>
            <w:tcW w:w="171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水平</w:t>
            </w:r>
          </w:p>
        </w:tc>
        <w:tc>
          <w:tcPr>
            <w:tcW w:w="2540"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p>
        </w:tc>
        <w:tc>
          <w:tcPr>
            <w:tcW w:w="2904" w:type="dxa"/>
            <w:gridSpan w:val="2"/>
            <w:vMerge w:val="continue"/>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p>
        </w:tc>
        <w:tc>
          <w:tcPr>
            <w:tcW w:w="171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垂直</w:t>
            </w:r>
          </w:p>
        </w:tc>
        <w:tc>
          <w:tcPr>
            <w:tcW w:w="2540"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材料和表面的质量</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附加顶焦度偏差</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561"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镜片尺寸</w:t>
            </w:r>
          </w:p>
        </w:tc>
        <w:tc>
          <w:tcPr>
            <w:tcW w:w="2057"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有效尺寸偏差</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561"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p>
        </w:tc>
        <w:tc>
          <w:tcPr>
            <w:tcW w:w="2057"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使用尺寸偏差</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基准点厚度</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厚度偏差</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耐磨性能</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10810.5-2012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折射率</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2506-2017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色散系数</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2506-2017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可见光透射比</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lang w:val="es-ES"/>
              </w:rPr>
            </w:pPr>
            <w:r>
              <w:rPr>
                <w:rFonts w:hint="eastAsia" w:ascii="仿宋_GB2312" w:hAnsi="仿宋_GB2312" w:eastAsia="仿宋_GB2312" w:cs="仿宋_GB2312"/>
                <w:sz w:val="28"/>
                <w:szCs w:val="28"/>
              </w:rPr>
              <w:t>太阳紫外A波段透射比</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太阳紫外B波段透射比</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明示透射比</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蓝光性能</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阻燃性</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2506-2017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20" w:hRule="atLeast"/>
          <w:jc w:val="center"/>
        </w:trPr>
        <w:tc>
          <w:tcPr>
            <w:tcW w:w="1006"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1</w:t>
            </w:r>
          </w:p>
        </w:tc>
        <w:tc>
          <w:tcPr>
            <w:tcW w:w="4618" w:type="dxa"/>
            <w:gridSpan w:val="3"/>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抗冲击性能</w:t>
            </w:r>
          </w:p>
        </w:tc>
        <w:tc>
          <w:tcPr>
            <w:tcW w:w="2540"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2506-2017</w:t>
            </w:r>
          </w:p>
        </w:tc>
      </w:tr>
    </w:tbl>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p>
    <w:p>
      <w:pPr>
        <w:pStyle w:val="5"/>
        <w:widowControl w:val="0"/>
        <w:numPr>
          <w:ilvl w:val="0"/>
          <w:numId w:val="0"/>
        </w:numPr>
        <w:snapToGrid w:val="0"/>
        <w:spacing w:line="360" w:lineRule="auto"/>
        <w:rPr>
          <w:rFonts w:hint="eastAsia" w:ascii="仿宋_GB2312" w:hAnsi="仿宋_GB2312" w:eastAsia="仿宋_GB2312" w:cs="仿宋_GB2312"/>
          <w:b/>
          <w:color w:val="000000"/>
          <w:kern w:val="2"/>
          <w:sz w:val="28"/>
          <w:szCs w:val="28"/>
        </w:rPr>
      </w:pPr>
      <w:r>
        <w:rPr>
          <w:rFonts w:hint="eastAsia" w:ascii="仿宋_GB2312" w:hAnsi="仿宋_GB2312" w:eastAsia="仿宋_GB2312" w:cs="仿宋_GB2312"/>
          <w:color w:val="000000"/>
          <w:kern w:val="2"/>
          <w:sz w:val="28"/>
          <w:szCs w:val="28"/>
        </w:rPr>
        <w:t>表2 渐变焦树脂镜片</w:t>
      </w:r>
    </w:p>
    <w:tbl>
      <w:tblPr>
        <w:tblStyle w:val="4"/>
        <w:tblW w:w="8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
      <w:tblGrid>
        <w:gridCol w:w="1083"/>
        <w:gridCol w:w="2911"/>
        <w:gridCol w:w="1945"/>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trHeight w:val="624" w:hRule="atLeast"/>
          <w:tblHeader/>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球镜顶焦度偏差</w:t>
            </w:r>
          </w:p>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（主子午面一）</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球镜顶焦度偏差</w:t>
            </w:r>
          </w:p>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（主子午面二）</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柱镜顶焦度偏差</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柱镜轴位方向偏差</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附加顶焦度偏差</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trHeight w:val="195" w:hRule="atLeast"/>
          <w:jc w:val="center"/>
        </w:trPr>
        <w:tc>
          <w:tcPr>
            <w:tcW w:w="1083"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911"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光学中心和棱镜度偏差</w:t>
            </w:r>
          </w:p>
        </w:tc>
        <w:tc>
          <w:tcPr>
            <w:tcW w:w="1945"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水平</w:t>
            </w:r>
          </w:p>
        </w:tc>
        <w:tc>
          <w:tcPr>
            <w:tcW w:w="2432"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trHeight w:val="195" w:hRule="atLeast"/>
          <w:jc w:val="center"/>
        </w:trPr>
        <w:tc>
          <w:tcPr>
            <w:tcW w:w="1083"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p>
        </w:tc>
        <w:tc>
          <w:tcPr>
            <w:tcW w:w="2911"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p>
        </w:tc>
        <w:tc>
          <w:tcPr>
            <w:tcW w:w="1945"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垂直</w:t>
            </w:r>
          </w:p>
        </w:tc>
        <w:tc>
          <w:tcPr>
            <w:tcW w:w="2432"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911"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镜片直径</w:t>
            </w:r>
          </w:p>
        </w:tc>
        <w:tc>
          <w:tcPr>
            <w:tcW w:w="1945"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有效尺寸偏差</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911"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p>
        </w:tc>
        <w:tc>
          <w:tcPr>
            <w:tcW w:w="1945"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使用尺寸偏差</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基准点厚度</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trHeight w:val="90" w:hRule="atLeas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厚度偏差</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trHeight w:val="90" w:hRule="atLeas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表面质量和内在疵病</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耐磨性能</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折射率</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2506-2017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色散系数</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QB/T 2506-2017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可见光透射比</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lang w:val="es-ES"/>
              </w:rPr>
            </w:pPr>
            <w:r>
              <w:rPr>
                <w:rFonts w:hint="eastAsia" w:ascii="仿宋_GB2312" w:hAnsi="仿宋_GB2312" w:eastAsia="仿宋_GB2312" w:cs="仿宋_GB2312"/>
                <w:sz w:val="28"/>
                <w:szCs w:val="28"/>
              </w:rPr>
              <w:t>太阳紫外A波段透射比</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太阳紫外B波段透射比</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明示透射比</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Ex>
        <w:trPr>
          <w:cantSplit/>
          <w:jc w:val="center"/>
        </w:trPr>
        <w:tc>
          <w:tcPr>
            <w:tcW w:w="108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4856"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蓝光性能</w:t>
            </w:r>
          </w:p>
        </w:tc>
        <w:tc>
          <w:tcPr>
            <w:tcW w:w="2432"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bl>
    <w:p>
      <w:pPr>
        <w:snapToGrid w:val="0"/>
        <w:spacing w:line="360" w:lineRule="auto"/>
        <w:jc w:val="center"/>
        <w:rPr>
          <w:rFonts w:hint="eastAsia" w:ascii="仿宋_GB2312" w:hAnsi="仿宋_GB2312" w:eastAsia="仿宋_GB2312" w:cs="仿宋_GB2312"/>
          <w:bCs/>
          <w:color w:val="000000"/>
          <w:sz w:val="28"/>
          <w:szCs w:val="28"/>
        </w:rPr>
      </w:pPr>
    </w:p>
    <w:p>
      <w:pPr>
        <w:snapToGrid w:val="0"/>
        <w:spacing w:line="360" w:lineRule="auto"/>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表3 单光和多焦点玻璃镜片/车房片</w:t>
      </w:r>
    </w:p>
    <w:tbl>
      <w:tblPr>
        <w:tblStyle w:val="4"/>
        <w:tblW w:w="8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3"/>
        <w:gridCol w:w="2990"/>
        <w:gridCol w:w="1862"/>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tblHeader/>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852"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852"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球镜顶焦度偏差</w:t>
            </w:r>
          </w:p>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（主子午面一）</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852"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球镜顶焦度偏差</w:t>
            </w:r>
          </w:p>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（主子午面二）</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852"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柱镜顶焦度偏差</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852"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柱镜轴位方向偏差</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990"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光学中心和棱镜度偏差</w:t>
            </w:r>
          </w:p>
        </w:tc>
        <w:tc>
          <w:tcPr>
            <w:tcW w:w="186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水平</w:t>
            </w:r>
          </w:p>
        </w:tc>
        <w:tc>
          <w:tcPr>
            <w:tcW w:w="2384"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p>
        </w:tc>
        <w:tc>
          <w:tcPr>
            <w:tcW w:w="2990"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p>
        </w:tc>
        <w:tc>
          <w:tcPr>
            <w:tcW w:w="186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垂直</w:t>
            </w:r>
          </w:p>
        </w:tc>
        <w:tc>
          <w:tcPr>
            <w:tcW w:w="2384"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852"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材料和表面的质量</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990"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镜片尺寸</w:t>
            </w:r>
          </w:p>
        </w:tc>
        <w:tc>
          <w:tcPr>
            <w:tcW w:w="186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有效尺寸偏差</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990"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p>
        </w:tc>
        <w:tc>
          <w:tcPr>
            <w:tcW w:w="186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使用尺寸偏差</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852"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厚度偏差</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852"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可见光透射比 </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852"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太阳紫外A波段透射比</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6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852"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太阳紫外B波段透射比</w:t>
            </w:r>
          </w:p>
        </w:tc>
        <w:tc>
          <w:tcPr>
            <w:tcW w:w="2384"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bl>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p>
    <w:p>
      <w:pPr>
        <w:snapToGrid w:val="0"/>
        <w:spacing w:line="360" w:lineRule="auto"/>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表4 渐变多焦点玻璃镜片/车房片</w:t>
      </w:r>
    </w:p>
    <w:tbl>
      <w:tblPr>
        <w:tblStyle w:val="4"/>
        <w:tblW w:w="84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1"/>
        <w:gridCol w:w="2936"/>
        <w:gridCol w:w="1879"/>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 w:hRule="atLeast"/>
          <w:tblHeader/>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815"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815"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球镜顶焦度偏差（主子午面一）</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815"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球镜顶焦度偏差（主子午面二）</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815"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柱镜顶焦度偏差</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815"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柱镜轴位方向偏差</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936"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光学中心和棱镜度偏差</w:t>
            </w:r>
          </w:p>
        </w:tc>
        <w:tc>
          <w:tcPr>
            <w:tcW w:w="1879"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水平</w:t>
            </w:r>
          </w:p>
        </w:tc>
        <w:tc>
          <w:tcPr>
            <w:tcW w:w="2487"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p>
        </w:tc>
        <w:tc>
          <w:tcPr>
            <w:tcW w:w="2936"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p>
        </w:tc>
        <w:tc>
          <w:tcPr>
            <w:tcW w:w="1879"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垂直</w:t>
            </w:r>
          </w:p>
        </w:tc>
        <w:tc>
          <w:tcPr>
            <w:tcW w:w="2487"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815"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表面质量和内在疵病</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936" w:type="dxa"/>
            <w:vMerge w:val="restart"/>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镜片直径</w:t>
            </w:r>
          </w:p>
        </w:tc>
        <w:tc>
          <w:tcPr>
            <w:tcW w:w="1879"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有效尺寸偏差</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936" w:type="dxa"/>
            <w:vMerge w:val="continue"/>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p>
        </w:tc>
        <w:tc>
          <w:tcPr>
            <w:tcW w:w="1879"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使用尺寸偏差</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815"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厚度偏差</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815"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可见光透射比</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3" w:hRule="atLeast"/>
          <w:jc w:val="center"/>
        </w:trPr>
        <w:tc>
          <w:tcPr>
            <w:tcW w:w="1131"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815" w:type="dxa"/>
            <w:gridSpan w:val="2"/>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太阳紫外A波段透射比</w:t>
            </w:r>
          </w:p>
        </w:tc>
        <w:tc>
          <w:tcPr>
            <w:tcW w:w="2487"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10810.3-2006</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GB 10810.1-2005 眼镜镜片 第1部分:单光和多焦点镜片</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GB 10810.2-2006 眼镜镜片 第2部分:渐变焦镜片</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GB 10810.3-2006 眼镜镜片及相关眼镜产品 第3部分:透射比规范及测量方法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GB 10810.5-2012 眼镜镜片 第5部分:镜片表面耐磨要求</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QB/T 2506-2017 眼镜镜片 光学树脂镜片</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根据GB 10810.1-2005、GB 10810.2-2006 、GB 10810.3-2006 、GB 10810.5-2012、QB/T 2506-2017判定。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tentative="0">
      <w:start w:val="1"/>
      <w:numFmt w:val="decimal"/>
      <w:pStyle w:val="5"/>
      <w:suff w:val="nothing"/>
      <w:lvlText w:val="表%1　"/>
      <w:lvlJc w:val="left"/>
      <w:rPr>
        <w:rFonts w:hint="eastAsia" w:ascii="宋体" w:hAnsi="宋体" w:eastAsia="宋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27809"/>
    <w:rsid w:val="00C554A3"/>
    <w:rsid w:val="12F44F41"/>
    <w:rsid w:val="26F660F8"/>
    <w:rsid w:val="2BA27809"/>
    <w:rsid w:val="4DA7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正文表标题"/>
    <w:next w:val="6"/>
    <w:qFormat/>
    <w:uiPriority w:val="99"/>
    <w:pPr>
      <w:numPr>
        <w:ilvl w:val="0"/>
        <w:numId w:val="1"/>
      </w:numPr>
      <w:jc w:val="center"/>
    </w:pPr>
    <w:rPr>
      <w:rFonts w:ascii="黑体" w:hAnsi="Calibri" w:eastAsia="黑体" w:cs="黑体"/>
      <w:sz w:val="21"/>
      <w:szCs w:val="21"/>
      <w:lang w:val="en-US" w:eastAsia="zh-CN" w:bidi="ar-SA"/>
    </w:rPr>
  </w:style>
  <w:style w:type="paragraph" w:customStyle="1" w:styleId="6">
    <w:name w:val="段"/>
    <w:qFormat/>
    <w:uiPriority w:val="99"/>
    <w:pPr>
      <w:autoSpaceDE w:val="0"/>
      <w:autoSpaceDN w:val="0"/>
      <w:ind w:firstLine="200" w:firstLineChars="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2020-08-13T09:00:00Z</dcterms:created>
  <dc:creator>徐立君</dc:creator>
  <cp:lastModifiedBy>王鑫</cp:lastModifiedBy>
  <dcterms:modified xsi:type="dcterms:W3CDTF">2021-03-15T01:43:31Z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