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sz w:val="32"/>
          <w:szCs w:val="32"/>
          <w:lang w:val="en-US" w:eastAsia="zh-CN"/>
        </w:rPr>
        <w:t>黑龙江省发动机润滑油产品质量省级监督抽查实施细则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color w:val="000000"/>
          <w:sz w:val="32"/>
          <w:szCs w:val="32"/>
          <w:lang w:val="en-US" w:eastAsia="zh-CN"/>
        </w:rPr>
      </w:pPr>
      <w:bookmarkStart w:id="0" w:name="_GoBack"/>
      <w:bookmarkEnd w:id="0"/>
    </w:p>
    <w:p>
      <w:pPr>
        <w:adjustRightInd w:val="0"/>
        <w:snapToGrid w:val="0"/>
        <w:spacing w:line="594" w:lineRule="exact"/>
        <w:jc w:val="center"/>
        <w:rPr>
          <w:rFonts w:eastAsia="方正小标宋简体" w:cs="方正仿宋简体"/>
          <w:color w:val="000000"/>
          <w:sz w:val="32"/>
          <w:szCs w:val="32"/>
        </w:rPr>
      </w:pPr>
    </w:p>
    <w:p>
      <w:pPr>
        <w:pStyle w:val="2"/>
        <w:widowControl/>
        <w:shd w:val="clear" w:color="auto" w:fill="FFFFFF"/>
        <w:spacing w:beforeAutospacing="0" w:afterAutospacing="0"/>
        <w:ind w:right="45"/>
        <w:rPr>
          <w:rFonts w:ascii="仿宋_GB2312" w:hAnsi="仿宋_GB2312" w:eastAsia="仿宋_GB2312" w:cs="仿宋_GB2312"/>
          <w:b/>
          <w:bCs/>
          <w:color w:val="000000"/>
          <w:sz w:val="32"/>
          <w:szCs w:val="32"/>
          <w:shd w:val="clear" w:color="auto" w:fill="FFFFFF"/>
        </w:rPr>
      </w:pPr>
      <w:r>
        <w:rPr>
          <w:rFonts w:ascii="仿宋_GB2312" w:hAnsi="仿宋_GB2312" w:eastAsia="仿宋_GB2312" w:cs="仿宋_GB2312"/>
          <w:b/>
          <w:bCs/>
          <w:color w:val="000000"/>
          <w:sz w:val="32"/>
          <w:szCs w:val="32"/>
          <w:shd w:val="clear" w:color="auto" w:fill="FFFFFF"/>
        </w:rPr>
        <w:t xml:space="preserve">1 </w:t>
      </w:r>
      <w:r>
        <w:rPr>
          <w:rFonts w:hint="eastAsia" w:ascii="仿宋_GB2312" w:hAnsi="仿宋_GB2312" w:eastAsia="仿宋_GB2312" w:cs="仿宋_GB2312"/>
          <w:b/>
          <w:bCs/>
          <w:color w:val="000000"/>
          <w:sz w:val="32"/>
          <w:szCs w:val="32"/>
          <w:shd w:val="clear" w:color="auto" w:fill="FFFFFF"/>
        </w:rPr>
        <w:t>抽样方法</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以随机抽样的方式在被抽样生产者、销售者的待销产品中抽取。</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随机数一般可使用随机数表、骰子或扑克牌等方法产生。</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抽取样品应为同一名称、型号规格及批次的产品。产品应有质量检验合格证明或以其他形式表明合格、并距抽样日期</w:t>
      </w:r>
      <w:r>
        <w:rPr>
          <w:rFonts w:ascii="仿宋_GB2312" w:hAnsi="仿宋_GB2312" w:eastAsia="仿宋_GB2312" w:cs="仿宋_GB2312"/>
          <w:color w:val="000000"/>
          <w:sz w:val="32"/>
          <w:szCs w:val="32"/>
          <w:shd w:val="clear" w:color="auto" w:fill="FFFFFF"/>
        </w:rPr>
        <w:t>12</w:t>
      </w:r>
      <w:r>
        <w:rPr>
          <w:rFonts w:hint="eastAsia" w:ascii="仿宋_GB2312" w:hAnsi="仿宋_GB2312" w:eastAsia="仿宋_GB2312" w:cs="仿宋_GB2312"/>
          <w:color w:val="000000"/>
          <w:sz w:val="32"/>
          <w:szCs w:val="32"/>
          <w:shd w:val="clear" w:color="auto" w:fill="FFFFFF"/>
        </w:rPr>
        <w:t>个月内生产，标注保质期的产品应保证本次抽查异议前，产品处于保质期内。</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每批次产品抽取样品不少于</w:t>
      </w: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个桶、其中</w:t>
      </w:r>
      <w:r>
        <w:rPr>
          <w:rFonts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rPr>
        <w:t>桶检验样品</w:t>
      </w:r>
      <w:r>
        <w:rPr>
          <w:rFonts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rPr>
        <w:t>桶作为备用样品，每桶不小于</w:t>
      </w: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升。</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抽查样品基数满足抽样数量即可。</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ascii="仿宋_GB2312" w:hAnsi="仿宋_GB2312" w:eastAsia="仿宋_GB2312" w:cs="仿宋_GB2312"/>
          <w:b/>
          <w:bCs/>
          <w:color w:val="000000"/>
          <w:sz w:val="32"/>
          <w:szCs w:val="32"/>
          <w:shd w:val="clear" w:color="auto" w:fill="FFFFFF"/>
        </w:rPr>
        <w:t xml:space="preserve">2 </w:t>
      </w:r>
      <w:r>
        <w:rPr>
          <w:rFonts w:hint="eastAsia" w:ascii="仿宋_GB2312" w:hAnsi="仿宋_GB2312" w:eastAsia="仿宋_GB2312" w:cs="仿宋_GB2312"/>
          <w:b/>
          <w:bCs/>
          <w:color w:val="000000"/>
          <w:sz w:val="32"/>
          <w:szCs w:val="32"/>
          <w:shd w:val="clear" w:color="auto" w:fill="FFFFFF"/>
        </w:rPr>
        <w:t>检验依据</w:t>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p>
    <w:tbl>
      <w:tblPr>
        <w:tblStyle w:val="4"/>
        <w:tblW w:w="809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3563"/>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3"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序号</w:t>
            </w:r>
          </w:p>
        </w:tc>
        <w:tc>
          <w:tcPr>
            <w:tcW w:w="3563"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检验项目</w:t>
            </w:r>
          </w:p>
        </w:tc>
        <w:tc>
          <w:tcPr>
            <w:tcW w:w="3144"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检验依据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3"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1</w:t>
            </w:r>
          </w:p>
        </w:tc>
        <w:tc>
          <w:tcPr>
            <w:tcW w:w="3563"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运动粘度</w:t>
            </w:r>
          </w:p>
        </w:tc>
        <w:tc>
          <w:tcPr>
            <w:tcW w:w="3144"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GB/T 265-1988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3"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2</w:t>
            </w:r>
          </w:p>
        </w:tc>
        <w:tc>
          <w:tcPr>
            <w:tcW w:w="3563"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闪点（开口）</w:t>
            </w:r>
          </w:p>
        </w:tc>
        <w:tc>
          <w:tcPr>
            <w:tcW w:w="3144"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GB/T 3536-2008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3"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3</w:t>
            </w:r>
          </w:p>
        </w:tc>
        <w:tc>
          <w:tcPr>
            <w:tcW w:w="3563"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倾点</w:t>
            </w:r>
          </w:p>
        </w:tc>
        <w:tc>
          <w:tcPr>
            <w:tcW w:w="3144"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GB/T 3535-2006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3"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4</w:t>
            </w:r>
          </w:p>
        </w:tc>
        <w:tc>
          <w:tcPr>
            <w:tcW w:w="3563"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机械杂质</w:t>
            </w:r>
          </w:p>
        </w:tc>
        <w:tc>
          <w:tcPr>
            <w:tcW w:w="3144"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GB/T 511-2010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3"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5</w:t>
            </w:r>
          </w:p>
        </w:tc>
        <w:tc>
          <w:tcPr>
            <w:tcW w:w="3563"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水分</w:t>
            </w:r>
          </w:p>
        </w:tc>
        <w:tc>
          <w:tcPr>
            <w:tcW w:w="3144" w:type="dxa"/>
            <w:vAlign w:val="center"/>
          </w:tcPr>
          <w:p>
            <w:pPr>
              <w:snapToGrid w:val="0"/>
              <w:spacing w:line="440" w:lineRule="exact"/>
              <w:jc w:val="center"/>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GB/T 260-2016</w:t>
            </w:r>
          </w:p>
        </w:tc>
      </w:tr>
    </w:tbl>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rPr>
          <w:rFonts w:ascii="仿宋_GB2312" w:hAnsi="仿宋_GB2312" w:eastAsia="仿宋_GB2312" w:cs="仿宋_GB2312"/>
          <w:b/>
          <w:bCs/>
          <w:color w:val="000000"/>
          <w:sz w:val="32"/>
          <w:szCs w:val="32"/>
          <w:shd w:val="clear" w:color="auto" w:fill="FFFFFF"/>
        </w:rPr>
      </w:pPr>
    </w:p>
    <w:p>
      <w:pPr>
        <w:pStyle w:val="2"/>
        <w:widowControl/>
        <w:shd w:val="clear" w:color="auto" w:fill="FFFFFF"/>
        <w:spacing w:beforeAutospacing="0" w:afterAutospacing="0"/>
        <w:ind w:right="45"/>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b/>
          <w:bCs/>
          <w:color w:val="000000"/>
          <w:sz w:val="32"/>
          <w:szCs w:val="32"/>
          <w:shd w:val="clear" w:color="auto" w:fill="FFFFFF"/>
        </w:rPr>
        <w:t xml:space="preserve">3 </w:t>
      </w:r>
      <w:r>
        <w:rPr>
          <w:rFonts w:hint="eastAsia" w:ascii="仿宋_GB2312" w:hAnsi="仿宋_GB2312" w:eastAsia="仿宋_GB2312" w:cs="仿宋_GB2312"/>
          <w:b/>
          <w:bCs/>
          <w:color w:val="000000"/>
          <w:sz w:val="32"/>
          <w:szCs w:val="32"/>
          <w:shd w:val="clear" w:color="auto" w:fill="FFFFFF"/>
        </w:rPr>
        <w:t>判定规则</w:t>
      </w:r>
    </w:p>
    <w:p>
      <w:pPr>
        <w:pStyle w:val="2"/>
        <w:widowControl/>
        <w:shd w:val="clear" w:color="auto" w:fill="FFFFFF"/>
        <w:spacing w:beforeAutospacing="0" w:afterAutospacing="0"/>
        <w:ind w:right="45"/>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3.1</w:t>
      </w:r>
      <w:r>
        <w:rPr>
          <w:rFonts w:hint="eastAsia" w:ascii="仿宋_GB2312" w:hAnsi="仿宋_GB2312" w:eastAsia="仿宋_GB2312" w:cs="仿宋_GB2312"/>
          <w:color w:val="000000"/>
          <w:sz w:val="32"/>
          <w:szCs w:val="32"/>
          <w:shd w:val="clear" w:color="auto" w:fill="FFFFFF"/>
        </w:rPr>
        <w:t>依据标准</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xml:space="preserve">GB 11121-2006 </w:t>
      </w:r>
      <w:r>
        <w:rPr>
          <w:rFonts w:hint="eastAsia" w:ascii="仿宋_GB2312" w:hAnsi="仿宋_GB2312" w:eastAsia="仿宋_GB2312" w:cs="仿宋_GB2312"/>
          <w:color w:val="000000"/>
          <w:sz w:val="32"/>
          <w:szCs w:val="32"/>
          <w:shd w:val="clear" w:color="auto" w:fill="FFFFFF"/>
        </w:rPr>
        <w:t>汽油机油</w:t>
      </w:r>
      <w:r>
        <w:rPr>
          <w:rFonts w:ascii="仿宋_GB2312" w:hAnsi="仿宋_GB2312" w:eastAsia="仿宋_GB2312" w:cs="仿宋_GB2312"/>
          <w:color w:val="000000"/>
          <w:sz w:val="32"/>
          <w:szCs w:val="32"/>
          <w:shd w:val="clear" w:color="auto" w:fill="FFFFFF"/>
        </w:rPr>
        <w:t xml:space="preserve"> </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 xml:space="preserve">GB 11122-2006 </w:t>
      </w:r>
      <w:r>
        <w:rPr>
          <w:rFonts w:hint="eastAsia" w:ascii="仿宋_GB2312" w:hAnsi="仿宋_GB2312" w:eastAsia="仿宋_GB2312" w:cs="仿宋_GB2312"/>
          <w:color w:val="000000"/>
          <w:sz w:val="32"/>
          <w:szCs w:val="32"/>
          <w:shd w:val="clear" w:color="auto" w:fill="FFFFFF"/>
        </w:rPr>
        <w:t>柴油机油</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现行有效的企业标准、团体标准、地方标准及产品明示质量要求</w:t>
      </w:r>
      <w:r>
        <w:rPr>
          <w:rFonts w:hint="eastAsia" w:ascii="仿宋_GB2312" w:hAnsi="仿宋_GB2312" w:eastAsia="仿宋_GB2312" w:cs="仿宋_GB2312"/>
          <w:color w:val="000000"/>
          <w:sz w:val="32"/>
          <w:szCs w:val="32"/>
          <w:shd w:val="clear" w:color="auto" w:fill="FFFFFF"/>
          <w:lang w:val="en-US" w:eastAsia="zh-CN"/>
        </w:rPr>
        <w:t>。</w:t>
      </w:r>
    </w:p>
    <w:p>
      <w:pPr>
        <w:pStyle w:val="2"/>
        <w:widowControl/>
        <w:shd w:val="clear" w:color="auto" w:fill="FFFFFF"/>
        <w:spacing w:beforeAutospacing="0" w:afterAutospacing="0"/>
        <w:ind w:right="45"/>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3.2</w:t>
      </w:r>
      <w:r>
        <w:rPr>
          <w:rFonts w:hint="eastAsia" w:ascii="仿宋_GB2312" w:hAnsi="仿宋_GB2312" w:eastAsia="仿宋_GB2312" w:cs="仿宋_GB2312"/>
          <w:color w:val="000000"/>
          <w:sz w:val="32"/>
          <w:szCs w:val="32"/>
          <w:shd w:val="clear" w:color="auto" w:fill="FFFFFF"/>
        </w:rPr>
        <w:t>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w:t>
      </w:r>
      <w:r>
        <w:rPr>
          <w:rFonts w:ascii="仿宋_GB2312" w:hAnsi="仿宋_GB2312" w:eastAsia="仿宋_GB2312" w:cs="仿宋_GB2312"/>
          <w:color w:val="000000"/>
          <w:sz w:val="32"/>
          <w:szCs w:val="32"/>
          <w:shd w:val="clear" w:color="auto" w:fill="FFFFFF"/>
        </w:rPr>
        <w:t>GB 11121-2006</w:t>
      </w:r>
      <w:r>
        <w:rPr>
          <w:rFonts w:hint="eastAsia" w:ascii="仿宋_GB2312" w:hAnsi="仿宋_GB2312" w:eastAsia="仿宋_GB2312" w:cs="仿宋_GB2312"/>
          <w:color w:val="000000"/>
          <w:sz w:val="32"/>
          <w:szCs w:val="32"/>
          <w:shd w:val="clear" w:color="auto" w:fill="FFFFFF"/>
          <w:lang w:eastAsia="zh-CN"/>
        </w:rPr>
        <w:t>、</w:t>
      </w:r>
      <w:r>
        <w:rPr>
          <w:rFonts w:ascii="仿宋_GB2312" w:hAnsi="仿宋_GB2312" w:eastAsia="仿宋_GB2312" w:cs="仿宋_GB2312"/>
          <w:color w:val="000000"/>
          <w:sz w:val="32"/>
          <w:szCs w:val="32"/>
          <w:shd w:val="clear" w:color="auto" w:fill="FFFFFF"/>
        </w:rPr>
        <w:t>GB 11122-2006</w:t>
      </w:r>
      <w:r>
        <w:rPr>
          <w:rFonts w:hint="eastAsia" w:ascii="仿宋_GB2312" w:hAnsi="仿宋_GB2312" w:eastAsia="仿宋_GB2312" w:cs="仿宋_GB2312"/>
          <w:color w:val="000000"/>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i w:val="0"/>
          <w:caps w:val="0"/>
          <w:color w:val="000000"/>
          <w:spacing w:val="0"/>
          <w:sz w:val="32"/>
          <w:szCs w:val="32"/>
          <w:shd w:val="clear" w:color="auto" w:fill="FFFFFF"/>
        </w:rPr>
        <w:t>被检产品明示的质量要求高于本细则中检验项目依据的标准要求时，应按被检产品明示的质量要求判定。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i w:val="0"/>
          <w:caps w:val="0"/>
          <w:color w:val="000000"/>
          <w:spacing w:val="0"/>
          <w:sz w:val="32"/>
          <w:szCs w:val="32"/>
          <w:shd w:val="clear" w:color="auto" w:fill="FFFFFF"/>
        </w:rPr>
        <w:t>被检产品明示的质量要求低于本细则中检验项目依据的强制性标准要求时，应按照强制性标准要求判定。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i w:val="0"/>
          <w:caps w:val="0"/>
          <w:color w:val="000000"/>
          <w:spacing w:val="0"/>
          <w:sz w:val="32"/>
          <w:szCs w:val="32"/>
          <w:shd w:val="clear" w:color="auto" w:fill="FFFFFF"/>
        </w:rPr>
        <w:t>被检产品明示的质量要求低于或包含本细则中检验项目依据的推荐性标准要求时，应以被检产品明示的质量要求判定。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p>
      <w:pPr>
        <w:pStyle w:val="2"/>
        <w:widowControl/>
        <w:shd w:val="clear" w:color="auto" w:fill="FFFFFF"/>
        <w:spacing w:beforeAutospacing="0" w:afterAutospacing="0"/>
        <w:ind w:right="45" w:firstLine="48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86A4E"/>
    <w:rsid w:val="27986A4E"/>
    <w:rsid w:val="366F1A54"/>
    <w:rsid w:val="50AF6F54"/>
    <w:rsid w:val="548A0B38"/>
    <w:rsid w:val="61A7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2020-08-13T08:43:00Z</dcterms:created>
  <dc:creator>徐立君</dc:creator>
  <cp:lastModifiedBy>王鑫</cp:lastModifiedBy>
  <dcterms:modified xsi:type="dcterms:W3CDTF">2021-03-15T01:39:51Z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