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color w:val="000000"/>
          <w:sz w:val="32"/>
          <w:szCs w:val="32"/>
          <w:lang w:val="en-US" w:eastAsia="zh-CN"/>
        </w:rPr>
        <w:t>黑龙江省实木复合地板产品质量省级监督抽查实施细则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adjustRightInd w:val="0"/>
        <w:snapToGrid w:val="0"/>
        <w:spacing w:line="594" w:lineRule="exact"/>
        <w:jc w:val="center"/>
        <w:rPr>
          <w:rFonts w:hint="eastAsia" w:ascii="黑体" w:hAnsi="黑体" w:eastAsia="黑体" w:cs="黑体"/>
          <w:color w:val="000000"/>
          <w:sz w:val="32"/>
          <w:szCs w:val="32"/>
          <w:lang w:val="en-US" w:eastAsia="zh-CN"/>
        </w:rPr>
      </w:pPr>
      <w:bookmarkStart w:id="0" w:name="_GoBack"/>
      <w:bookmarkEnd w:id="0"/>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 抽样方法</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以随机抽样的方式在被抽样生产者、销售者的待销产品中抽取。</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随机数一般可使用随机数表等方法产生。</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每批次产品抽取样品2包，约3m</w:t>
      </w:r>
      <w:r>
        <w:rPr>
          <w:rFonts w:hint="eastAsia" w:ascii="仿宋_GB2312" w:hAnsi="仿宋_GB2312" w:eastAsia="仿宋_GB2312" w:cs="仿宋_GB2312"/>
          <w:color w:val="000000"/>
          <w:position w:val="11"/>
          <w:sz w:val="18"/>
          <w:szCs w:val="21"/>
          <w:shd w:val="clear" w:color="auto" w:fill="FFFFFF"/>
        </w:rPr>
        <w:t>2</w:t>
      </w:r>
      <w:r>
        <w:rPr>
          <w:rFonts w:hint="eastAsia" w:ascii="仿宋_GB2312" w:hAnsi="仿宋_GB2312" w:eastAsia="仿宋_GB2312" w:cs="仿宋_GB2312"/>
          <w:color w:val="000000"/>
          <w:sz w:val="32"/>
          <w:szCs w:val="32"/>
          <w:shd w:val="clear" w:color="auto" w:fill="FFFFFF"/>
        </w:rPr>
        <w:t>，且不少于20片，其中约1.5m</w:t>
      </w:r>
      <w:r>
        <w:rPr>
          <w:rFonts w:hint="eastAsia" w:ascii="仿宋_GB2312" w:hAnsi="仿宋_GB2312" w:eastAsia="仿宋_GB2312" w:cs="仿宋_GB2312"/>
          <w:color w:val="000000"/>
          <w:position w:val="11"/>
          <w:sz w:val="18"/>
          <w:szCs w:val="21"/>
          <w:shd w:val="clear" w:color="auto" w:fill="FFFFFF"/>
        </w:rPr>
        <w:t>2</w:t>
      </w:r>
      <w:r>
        <w:rPr>
          <w:rFonts w:hint="eastAsia" w:ascii="仿宋_GB2312" w:hAnsi="仿宋_GB2312" w:eastAsia="仿宋_GB2312" w:cs="仿宋_GB2312"/>
          <w:color w:val="000000"/>
          <w:sz w:val="32"/>
          <w:szCs w:val="32"/>
          <w:shd w:val="clear" w:color="auto" w:fill="FFFFFF"/>
        </w:rPr>
        <w:t>，且不少于10片作为检验样品，约1.5m</w:t>
      </w:r>
      <w:r>
        <w:rPr>
          <w:rFonts w:hint="eastAsia" w:ascii="仿宋_GB2312" w:hAnsi="仿宋_GB2312" w:eastAsia="仿宋_GB2312" w:cs="仿宋_GB2312"/>
          <w:color w:val="000000"/>
          <w:position w:val="11"/>
          <w:sz w:val="18"/>
          <w:szCs w:val="21"/>
          <w:shd w:val="clear" w:color="auto" w:fill="FFFFFF"/>
        </w:rPr>
        <w:t>2</w:t>
      </w:r>
      <w:r>
        <w:rPr>
          <w:rFonts w:hint="eastAsia" w:ascii="仿宋_GB2312" w:hAnsi="仿宋_GB2312" w:eastAsia="仿宋_GB2312" w:cs="仿宋_GB2312"/>
          <w:color w:val="000000"/>
          <w:sz w:val="32"/>
          <w:szCs w:val="32"/>
          <w:shd w:val="clear" w:color="auto" w:fill="FFFFFF"/>
        </w:rPr>
        <w:t>，且不少于10片作为备用样品。</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在市场抽查时，抽样基数满足抽样数量即可。</w:t>
      </w: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 检验依据</w:t>
      </w:r>
    </w:p>
    <w:p>
      <w:pPr>
        <w:snapToGrid w:val="0"/>
        <w:spacing w:line="440" w:lineRule="exact"/>
        <w:rPr>
          <w:rFonts w:eastAsia="黑体"/>
          <w:color w:val="000000"/>
          <w:szCs w:val="21"/>
        </w:rPr>
      </w:pPr>
    </w:p>
    <w:tbl>
      <w:tblPr>
        <w:tblStyle w:val="4"/>
        <w:tblW w:w="8359" w:type="dxa"/>
        <w:jc w:val="center"/>
        <w:tblInd w:w="-9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300"/>
        <w:gridCol w:w="4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 w:type="dxa"/>
            <w:vAlign w:val="top"/>
          </w:tcPr>
          <w:p>
            <w:pPr>
              <w:keepNext w:val="0"/>
              <w:keepLines w:val="0"/>
              <w:pageBreakBefore w:val="0"/>
              <w:kinsoku/>
              <w:wordWrap/>
              <w:overflowPunct/>
              <w:topLinePunct w:val="0"/>
              <w:autoSpaceDE/>
              <w:autoSpaceDN/>
              <w:bidi w:val="0"/>
              <w:adjustRightInd/>
              <w:snapToGrid w:val="0"/>
              <w:spacing w:line="0" w:lineRule="atLeast"/>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3300" w:type="dxa"/>
            <w:vAlign w:val="top"/>
          </w:tcPr>
          <w:p>
            <w:pPr>
              <w:keepNext w:val="0"/>
              <w:keepLines w:val="0"/>
              <w:pageBreakBefore w:val="0"/>
              <w:kinsoku/>
              <w:wordWrap/>
              <w:overflowPunct/>
              <w:topLinePunct w:val="0"/>
              <w:autoSpaceDE/>
              <w:autoSpaceDN/>
              <w:bidi w:val="0"/>
              <w:adjustRightInd/>
              <w:snapToGrid w:val="0"/>
              <w:spacing w:line="0" w:lineRule="atLeast"/>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检验项目</w:t>
            </w:r>
          </w:p>
        </w:tc>
        <w:tc>
          <w:tcPr>
            <w:tcW w:w="4114" w:type="dxa"/>
            <w:vAlign w:val="top"/>
          </w:tcPr>
          <w:p>
            <w:pPr>
              <w:keepNext w:val="0"/>
              <w:keepLines w:val="0"/>
              <w:pageBreakBefore w:val="0"/>
              <w:kinsoku/>
              <w:wordWrap/>
              <w:overflowPunct/>
              <w:topLinePunct w:val="0"/>
              <w:autoSpaceDE/>
              <w:autoSpaceDN/>
              <w:bidi w:val="0"/>
              <w:adjustRightInd/>
              <w:snapToGrid w:val="0"/>
              <w:spacing w:line="0" w:lineRule="atLeast"/>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 w:type="dxa"/>
            <w:vAlign w:val="center"/>
          </w:tcPr>
          <w:p>
            <w:pPr>
              <w:keepNext w:val="0"/>
              <w:keepLines w:val="0"/>
              <w:pageBreakBefore w:val="0"/>
              <w:kinsoku/>
              <w:wordWrap/>
              <w:overflowPunct/>
              <w:topLinePunct w:val="0"/>
              <w:autoSpaceDE/>
              <w:autoSpaceDN/>
              <w:bidi w:val="0"/>
              <w:adjustRightInd/>
              <w:snapToGrid w:val="0"/>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1</w:t>
            </w:r>
          </w:p>
        </w:tc>
        <w:tc>
          <w:tcPr>
            <w:tcW w:w="3300"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含水率</w:t>
            </w:r>
          </w:p>
        </w:tc>
        <w:tc>
          <w:tcPr>
            <w:tcW w:w="4114"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GB/T18103-2013</w:t>
            </w:r>
          </w:p>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GB/T17657-1999中4.3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 w:type="dxa"/>
            <w:vAlign w:val="center"/>
          </w:tcPr>
          <w:p>
            <w:pPr>
              <w:keepNext w:val="0"/>
              <w:keepLines w:val="0"/>
              <w:pageBreakBefore w:val="0"/>
              <w:kinsoku/>
              <w:wordWrap/>
              <w:overflowPunct/>
              <w:topLinePunct w:val="0"/>
              <w:autoSpaceDE/>
              <w:autoSpaceDN/>
              <w:bidi w:val="0"/>
              <w:adjustRightInd/>
              <w:snapToGrid w:val="0"/>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2</w:t>
            </w:r>
          </w:p>
        </w:tc>
        <w:tc>
          <w:tcPr>
            <w:tcW w:w="3300"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静曲强度</w:t>
            </w:r>
          </w:p>
        </w:tc>
        <w:tc>
          <w:tcPr>
            <w:tcW w:w="4114"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GB/T18103-2013</w:t>
            </w:r>
          </w:p>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GB/T17657-1999中4.9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 w:type="dxa"/>
            <w:vAlign w:val="center"/>
          </w:tcPr>
          <w:p>
            <w:pPr>
              <w:keepNext w:val="0"/>
              <w:keepLines w:val="0"/>
              <w:pageBreakBefore w:val="0"/>
              <w:kinsoku/>
              <w:wordWrap/>
              <w:overflowPunct/>
              <w:topLinePunct w:val="0"/>
              <w:autoSpaceDE/>
              <w:autoSpaceDN/>
              <w:bidi w:val="0"/>
              <w:adjustRightInd/>
              <w:snapToGrid w:val="0"/>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3</w:t>
            </w:r>
          </w:p>
        </w:tc>
        <w:tc>
          <w:tcPr>
            <w:tcW w:w="3300"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表面耐磨</w:t>
            </w:r>
          </w:p>
        </w:tc>
        <w:tc>
          <w:tcPr>
            <w:tcW w:w="4114"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GB/T18103-2013</w:t>
            </w:r>
          </w:p>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GB/T15036.2-2009中3.3.2.2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 w:type="dxa"/>
            <w:vAlign w:val="center"/>
          </w:tcPr>
          <w:p>
            <w:pPr>
              <w:keepNext w:val="0"/>
              <w:keepLines w:val="0"/>
              <w:pageBreakBefore w:val="0"/>
              <w:kinsoku/>
              <w:wordWrap/>
              <w:overflowPunct/>
              <w:topLinePunct w:val="0"/>
              <w:autoSpaceDE/>
              <w:autoSpaceDN/>
              <w:bidi w:val="0"/>
              <w:adjustRightInd/>
              <w:snapToGrid w:val="0"/>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4</w:t>
            </w:r>
          </w:p>
        </w:tc>
        <w:tc>
          <w:tcPr>
            <w:tcW w:w="3300"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浸渍剥离</w:t>
            </w:r>
          </w:p>
        </w:tc>
        <w:tc>
          <w:tcPr>
            <w:tcW w:w="4114"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GB/T18103-2013</w:t>
            </w:r>
          </w:p>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GB/T18103-2013中6.3.2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 w:type="dxa"/>
            <w:vAlign w:val="center"/>
          </w:tcPr>
          <w:p>
            <w:pPr>
              <w:keepNext w:val="0"/>
              <w:keepLines w:val="0"/>
              <w:pageBreakBefore w:val="0"/>
              <w:kinsoku/>
              <w:wordWrap/>
              <w:overflowPunct/>
              <w:topLinePunct w:val="0"/>
              <w:autoSpaceDE/>
              <w:autoSpaceDN/>
              <w:bidi w:val="0"/>
              <w:adjustRightInd/>
              <w:snapToGrid w:val="0"/>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5</w:t>
            </w:r>
          </w:p>
        </w:tc>
        <w:tc>
          <w:tcPr>
            <w:tcW w:w="3300"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表面耐污染腐蚀</w:t>
            </w:r>
          </w:p>
        </w:tc>
        <w:tc>
          <w:tcPr>
            <w:tcW w:w="4114"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GB/T18103-2013</w:t>
            </w:r>
          </w:p>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GB/T17657-1999中4.37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 w:type="dxa"/>
            <w:vAlign w:val="center"/>
          </w:tcPr>
          <w:p>
            <w:pPr>
              <w:keepNext w:val="0"/>
              <w:keepLines w:val="0"/>
              <w:pageBreakBefore w:val="0"/>
              <w:kinsoku/>
              <w:wordWrap/>
              <w:overflowPunct/>
              <w:topLinePunct w:val="0"/>
              <w:autoSpaceDE/>
              <w:autoSpaceDN/>
              <w:bidi w:val="0"/>
              <w:adjustRightInd/>
              <w:snapToGrid w:val="0"/>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6</w:t>
            </w:r>
          </w:p>
        </w:tc>
        <w:tc>
          <w:tcPr>
            <w:tcW w:w="3300"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弹性模量</w:t>
            </w:r>
          </w:p>
        </w:tc>
        <w:tc>
          <w:tcPr>
            <w:tcW w:w="4114"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GB/T18103-2013</w:t>
            </w:r>
          </w:p>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GB/T17657-1999中4.9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945" w:type="dxa"/>
            <w:vAlign w:val="center"/>
          </w:tcPr>
          <w:p>
            <w:pPr>
              <w:keepNext w:val="0"/>
              <w:keepLines w:val="0"/>
              <w:pageBreakBefore w:val="0"/>
              <w:kinsoku/>
              <w:wordWrap/>
              <w:overflowPunct/>
              <w:topLinePunct w:val="0"/>
              <w:autoSpaceDE/>
              <w:autoSpaceDN/>
              <w:bidi w:val="0"/>
              <w:adjustRightInd/>
              <w:snapToGrid w:val="0"/>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7</w:t>
            </w:r>
          </w:p>
        </w:tc>
        <w:tc>
          <w:tcPr>
            <w:tcW w:w="3300"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漆膜附着力</w:t>
            </w:r>
          </w:p>
        </w:tc>
        <w:tc>
          <w:tcPr>
            <w:tcW w:w="4114"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GB/T18103-2013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 w:type="dxa"/>
            <w:vAlign w:val="center"/>
          </w:tcPr>
          <w:p>
            <w:pPr>
              <w:keepNext w:val="0"/>
              <w:keepLines w:val="0"/>
              <w:pageBreakBefore w:val="0"/>
              <w:kinsoku/>
              <w:wordWrap/>
              <w:overflowPunct/>
              <w:topLinePunct w:val="0"/>
              <w:autoSpaceDE/>
              <w:autoSpaceDN/>
              <w:bidi w:val="0"/>
              <w:adjustRightInd/>
              <w:snapToGrid w:val="0"/>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8</w:t>
            </w:r>
          </w:p>
        </w:tc>
        <w:tc>
          <w:tcPr>
            <w:tcW w:w="3300"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甲醛释放量</w:t>
            </w:r>
          </w:p>
        </w:tc>
        <w:tc>
          <w:tcPr>
            <w:tcW w:w="4114"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 18580-2017</w:t>
            </w:r>
          </w:p>
          <w:p>
            <w:pPr>
              <w:keepNext w:val="0"/>
              <w:keepLines w:val="0"/>
              <w:pageBreakBefore w:val="0"/>
              <w:kinsoku/>
              <w:wordWrap/>
              <w:overflowPunct/>
              <w:topLinePunct w:val="0"/>
              <w:autoSpaceDE/>
              <w:autoSpaceDN/>
              <w:bidi w:val="0"/>
              <w:adjustRightInd/>
              <w:spacing w:line="0" w:lineRule="atLeas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GB/T17657-2013中4.60</w:t>
            </w:r>
          </w:p>
        </w:tc>
      </w:tr>
    </w:tbl>
    <w:p>
      <w:pPr>
        <w:pStyle w:val="2"/>
        <w:keepNext w:val="0"/>
        <w:keepLines w:val="0"/>
        <w:pageBreakBefore w:val="0"/>
        <w:widowControl/>
        <w:shd w:val="clear" w:color="auto" w:fill="FFFFFF"/>
        <w:kinsoku/>
        <w:wordWrap/>
        <w:overflowPunct/>
        <w:topLinePunct w:val="0"/>
        <w:autoSpaceDE/>
        <w:autoSpaceDN/>
        <w:bidi w:val="0"/>
        <w:adjustRightInd/>
        <w:spacing w:beforeAutospacing="0" w:afterAutospacing="0" w:line="0" w:lineRule="atLeast"/>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3 判定规则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3.1依据标准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GB/T18103-2013 实木复合地板</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 18580-2017 室内装饰装修材料 人造板及其制品中甲醛释放限量</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3.2判定原则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rPr>
        <w:t xml:space="preserve">GB/T18103-2013 </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GB 18580-2017</w:t>
      </w:r>
      <w:r>
        <w:rPr>
          <w:rFonts w:hint="eastAsia" w:ascii="仿宋_GB2312" w:hAnsi="仿宋_GB2312" w:eastAsia="仿宋_GB2312" w:cs="仿宋_GB2312"/>
          <w:color w:val="000000"/>
          <w:sz w:val="32"/>
          <w:szCs w:val="32"/>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若被检产品明示的质量要求缺少本细则中检验项目依据的推荐性标准要求时，该项目不参与判定，但应在检验报告备注中进行说明。</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76896"/>
    <w:rsid w:val="172306C9"/>
    <w:rsid w:val="29041C80"/>
    <w:rsid w:val="4E476896"/>
    <w:rsid w:val="6F9E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2020-08-13T09:06:00Z</dcterms:created>
  <dc:creator>徐立君</dc:creator>
  <cp:lastModifiedBy>王鑫</cp:lastModifiedBy>
  <dcterms:modified xsi:type="dcterms:W3CDTF">2021-03-15T01:44:24Z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