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黑龙江省童鞋产品质量省级监督抽查实施细则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kern w:val="2"/>
          <w:sz w:val="32"/>
          <w:szCs w:val="32"/>
          <w:u w:val="none"/>
          <w:lang w:val="en-US" w:eastAsia="zh-CN" w:bidi="ar-SA"/>
        </w:rPr>
      </w:pPr>
      <w:bookmarkStart w:id="0" w:name="_GoBack"/>
      <w:bookmarkEnd w:id="0"/>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textAlignment w:val="auto"/>
        <w:outlineLvl w:val="9"/>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以随机抽样的方式在被抽样生产者、销售者的待销产品中抽取。</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随机数一般可使用随机数表等方法产生。</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每批次产品抽取样品3双，其中2双作为检验样品，1双作为备用样品。</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ab/>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textAlignment w:val="auto"/>
        <w:outlineLvl w:val="9"/>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p>
      <w:pPr>
        <w:adjustRightInd w:val="0"/>
        <w:snapToGrid w:val="0"/>
        <w:spacing w:line="440" w:lineRule="exact"/>
        <w:jc w:val="center"/>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表1 儿童旅游鞋</w:t>
      </w:r>
    </w:p>
    <w:tbl>
      <w:tblPr>
        <w:tblStyle w:val="4"/>
        <w:tblW w:w="8390" w:type="dxa"/>
        <w:jc w:val="center"/>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273"/>
        <w:gridCol w:w="4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97" w:type="dxa"/>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273" w:type="dxa"/>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120" w:type="dxa"/>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帮底剥离强度或</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底墙与帮面剥离强度</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外底耐磨性能</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外底硬度</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物理机械安全性能</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30585-2014</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6675.2-2014 第5.8、5.9条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皮革和毛皮中的六价铬</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22807-2008</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22807-2019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可分解有害芳香胺染料</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17592-2011</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19942-2005</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2912.1-2009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19941-2005</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重金属总量</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（砷、铅、镉）</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4340-2012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富马酸二甲酯</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26713-2011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橡胶部件中的N-亚硝基胺（婴幼儿鞋）</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24153-2009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27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邻苯二甲酸酯</w:t>
            </w:r>
          </w:p>
        </w:tc>
        <w:tc>
          <w:tcPr>
            <w:tcW w:w="412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ISO/TS 16181:2011</w:t>
            </w:r>
          </w:p>
        </w:tc>
      </w:tr>
    </w:tbl>
    <w:p>
      <w:pPr>
        <w:adjustRightInd w:val="0"/>
        <w:snapToGrid w:val="0"/>
        <w:spacing w:line="440" w:lineRule="exact"/>
        <w:jc w:val="center"/>
        <w:rPr>
          <w:rFonts w:hint="eastAsia" w:ascii="仿宋_GB2312" w:hAnsi="仿宋_GB2312" w:eastAsia="仿宋_GB2312" w:cs="仿宋_GB2312"/>
        </w:rPr>
      </w:pPr>
    </w:p>
    <w:p>
      <w:pPr>
        <w:adjustRightInd w:val="0"/>
        <w:snapToGrid w:val="0"/>
        <w:spacing w:line="440" w:lineRule="exact"/>
        <w:jc w:val="center"/>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表2 儿童皮鞋</w:t>
      </w:r>
    </w:p>
    <w:tbl>
      <w:tblPr>
        <w:tblStyle w:val="4"/>
        <w:tblW w:w="8345"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133"/>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耐磨性能</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剥离强度</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外底硬度</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鞋帮拉出强度</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2880-2016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钢勾心纵向刚度</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1813-2000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钢勾心硬度</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230.1-2018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钢勾心长度下限值</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28011-2011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钢勾心弯曲性能</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28011-2011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物理机械安全性能</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30585-2014</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6675.2-2014 第5.8、5.9条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皮革和毛皮中的六价铬</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22807-2008</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22807-2019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可分解有害芳香胺染料</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17592-2011</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19942-2005</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2912.1-2009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19941-2005</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重金属总量</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（砷、铅、镉）</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4340-2012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富马酸二甲酯</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26713-2011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橡胶部件中的N-亚硝基胺（婴幼儿鞋）</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24153-2009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31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邻苯二甲酸酯</w:t>
            </w:r>
          </w:p>
        </w:tc>
        <w:tc>
          <w:tcPr>
            <w:tcW w:w="425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ISO/TS 16181:2011</w:t>
            </w:r>
          </w:p>
        </w:tc>
      </w:tr>
    </w:tbl>
    <w:p>
      <w:pPr>
        <w:adjustRightInd w:val="0"/>
        <w:snapToGrid w:val="0"/>
        <w:spacing w:line="440" w:lineRule="exact"/>
        <w:jc w:val="center"/>
        <w:rPr>
          <w:rFonts w:hint="eastAsia" w:ascii="仿宋_GB2312" w:hAnsi="仿宋_GB2312" w:eastAsia="仿宋_GB2312" w:cs="仿宋_GB231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jc w:val="center"/>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表3 儿童皮凉鞋</w:t>
      </w:r>
    </w:p>
    <w:tbl>
      <w:tblPr>
        <w:tblStyle w:val="4"/>
        <w:tblW w:w="8374" w:type="dxa"/>
        <w:jc w:val="center"/>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404"/>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耐磨性能</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帮底剥离强度</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外底硬度</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帮带拉出强度或帮带拔出力</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4546-2013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钢勾心纵向刚度</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1813-2000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钢勾心硬度</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230.1-2018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钢勾心长度下限值</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28011-2011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钢勾心弯曲性能</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28011-2011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物理机械安全性能</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30585-2014</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6675.2-2014 第5.8、5.9条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皮革和毛皮中的六价铬</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22807-2008</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22807-2019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可分解有害芳香胺染料</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17592-2011</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19942-2005</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2912.1-2009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19941-2005</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重金属总量</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（砷、铅、镉）</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4340-2012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富马酸二甲酯</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26713-2011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橡胶部件中的N-亚硝基胺（婴幼儿鞋）</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24153-2009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3"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3404"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邻苯二甲酸酯</w:t>
            </w:r>
          </w:p>
        </w:tc>
        <w:tc>
          <w:tcPr>
            <w:tcW w:w="403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ISO/TS 16181:2011</w:t>
            </w:r>
          </w:p>
        </w:tc>
      </w:tr>
    </w:tbl>
    <w:p>
      <w:pPr>
        <w:adjustRightInd w:val="0"/>
        <w:snapToGrid w:val="0"/>
        <w:spacing w:line="440" w:lineRule="exact"/>
        <w:jc w:val="center"/>
        <w:rPr>
          <w:rFonts w:hint="eastAsia" w:ascii="仿宋_GB2312" w:hAnsi="仿宋_GB2312" w:eastAsia="仿宋_GB2312" w:cs="仿宋_GB2312"/>
        </w:rPr>
      </w:pPr>
    </w:p>
    <w:p>
      <w:pPr>
        <w:adjustRightInd w:val="0"/>
        <w:snapToGrid w:val="0"/>
        <w:spacing w:line="440" w:lineRule="exact"/>
        <w:jc w:val="center"/>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表4 布面童胶鞋</w:t>
      </w:r>
    </w:p>
    <w:tbl>
      <w:tblPr>
        <w:tblStyle w:val="4"/>
        <w:tblW w:w="8329" w:type="dxa"/>
        <w:jc w:val="center"/>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11"/>
        <w:gridCol w:w="2985"/>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87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796" w:type="dxa"/>
            <w:gridSpan w:val="2"/>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796" w:type="dxa"/>
            <w:gridSpan w:val="2"/>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pH值</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7573-2002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796" w:type="dxa"/>
            <w:gridSpan w:val="2"/>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游离甲醛</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2912.1-1998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796" w:type="dxa"/>
            <w:gridSpan w:val="2"/>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可萃取的重金属</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（铅（Pb）、镉（Cd）、砷（As））</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17593.2-2007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796" w:type="dxa"/>
            <w:gridSpan w:val="2"/>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可分解有害芳香胺染料</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17592-2006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796" w:type="dxa"/>
            <w:gridSpan w:val="2"/>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含氯酚（五氯苯酚（PCP）、</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2,3,5,6-四氯苯酚（TeCP））</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18414.1-2006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796" w:type="dxa"/>
            <w:gridSpan w:val="2"/>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N-亚硝基胺</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24153-2009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Merge w:val="restart"/>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811" w:type="dxa"/>
            <w:vMerge w:val="restart"/>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物理安全性能</w:t>
            </w:r>
          </w:p>
        </w:tc>
        <w:tc>
          <w:tcPr>
            <w:tcW w:w="298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断针检测</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25036-2010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Merge w:val="continue"/>
            <w:vAlign w:val="center"/>
          </w:tcPr>
          <w:p>
            <w:pPr>
              <w:adjustRightInd w:val="0"/>
              <w:snapToGrid w:val="0"/>
              <w:jc w:val="center"/>
              <w:rPr>
                <w:rFonts w:hint="eastAsia" w:ascii="仿宋_GB2312" w:hAnsi="仿宋_GB2312" w:eastAsia="仿宋_GB2312" w:cs="仿宋_GB2312"/>
                <w:sz w:val="28"/>
                <w:szCs w:val="28"/>
              </w:rPr>
            </w:pPr>
          </w:p>
        </w:tc>
        <w:tc>
          <w:tcPr>
            <w:tcW w:w="811" w:type="dxa"/>
            <w:vMerge w:val="continue"/>
            <w:vAlign w:val="center"/>
          </w:tcPr>
          <w:p>
            <w:pPr>
              <w:adjustRightInd w:val="0"/>
              <w:snapToGrid w:val="0"/>
              <w:jc w:val="center"/>
              <w:rPr>
                <w:rFonts w:hint="eastAsia" w:ascii="仿宋_GB2312" w:hAnsi="仿宋_GB2312" w:eastAsia="仿宋_GB2312" w:cs="仿宋_GB2312"/>
                <w:sz w:val="28"/>
                <w:szCs w:val="28"/>
              </w:rPr>
            </w:pPr>
          </w:p>
        </w:tc>
        <w:tc>
          <w:tcPr>
            <w:tcW w:w="298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可触及的锐利边缘</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6675-2003 A.5.8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Merge w:val="continue"/>
            <w:vAlign w:val="center"/>
          </w:tcPr>
          <w:p>
            <w:pPr>
              <w:adjustRightInd w:val="0"/>
              <w:snapToGrid w:val="0"/>
              <w:jc w:val="center"/>
              <w:rPr>
                <w:rFonts w:hint="eastAsia" w:ascii="仿宋_GB2312" w:hAnsi="仿宋_GB2312" w:eastAsia="仿宋_GB2312" w:cs="仿宋_GB2312"/>
                <w:sz w:val="28"/>
                <w:szCs w:val="28"/>
              </w:rPr>
            </w:pPr>
          </w:p>
        </w:tc>
        <w:tc>
          <w:tcPr>
            <w:tcW w:w="811" w:type="dxa"/>
            <w:vMerge w:val="continue"/>
            <w:vAlign w:val="center"/>
          </w:tcPr>
          <w:p>
            <w:pPr>
              <w:adjustRightInd w:val="0"/>
              <w:snapToGrid w:val="0"/>
              <w:jc w:val="center"/>
              <w:rPr>
                <w:rFonts w:hint="eastAsia" w:ascii="仿宋_GB2312" w:hAnsi="仿宋_GB2312" w:eastAsia="仿宋_GB2312" w:cs="仿宋_GB2312"/>
                <w:sz w:val="28"/>
                <w:szCs w:val="28"/>
              </w:rPr>
            </w:pPr>
          </w:p>
        </w:tc>
        <w:tc>
          <w:tcPr>
            <w:tcW w:w="298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可触及的锐利尖端</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6675-2003 A.5.9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Merge w:val="continue"/>
            <w:vAlign w:val="center"/>
          </w:tcPr>
          <w:p>
            <w:pPr>
              <w:adjustRightInd w:val="0"/>
              <w:snapToGrid w:val="0"/>
              <w:jc w:val="center"/>
              <w:rPr>
                <w:rFonts w:hint="eastAsia" w:ascii="仿宋_GB2312" w:hAnsi="仿宋_GB2312" w:eastAsia="仿宋_GB2312" w:cs="仿宋_GB2312"/>
                <w:sz w:val="28"/>
                <w:szCs w:val="28"/>
              </w:rPr>
            </w:pPr>
          </w:p>
        </w:tc>
        <w:tc>
          <w:tcPr>
            <w:tcW w:w="811" w:type="dxa"/>
            <w:vMerge w:val="continue"/>
            <w:vAlign w:val="center"/>
          </w:tcPr>
          <w:p>
            <w:pPr>
              <w:adjustRightInd w:val="0"/>
              <w:snapToGrid w:val="0"/>
              <w:jc w:val="center"/>
              <w:rPr>
                <w:rFonts w:hint="eastAsia" w:ascii="仿宋_GB2312" w:hAnsi="仿宋_GB2312" w:eastAsia="仿宋_GB2312" w:cs="仿宋_GB2312"/>
                <w:sz w:val="28"/>
                <w:szCs w:val="28"/>
              </w:rPr>
            </w:pPr>
          </w:p>
        </w:tc>
        <w:tc>
          <w:tcPr>
            <w:tcW w:w="298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可拆卸或经可预见的合理滥用测试后脱落的小附件</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6675-2003 A.5.2、A.5.24.5、A.5.24.6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796" w:type="dxa"/>
            <w:gridSpan w:val="2"/>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外底硬度</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531-1999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7"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796" w:type="dxa"/>
            <w:gridSpan w:val="2"/>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围条与鞋帮粘附强度</w:t>
            </w:r>
          </w:p>
        </w:tc>
        <w:tc>
          <w:tcPr>
            <w:tcW w:w="36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532-1997</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textAlignment w:val="auto"/>
        <w:outlineLvl w:val="9"/>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3.1依据标准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30585-2014 儿童鞋安全技术规范</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25036-2010 布面童胶鞋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QB/T 4331-2012 儿童旅游鞋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QB/T 2880-2016 儿童皮鞋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QB/T 4546-2013 儿童皮凉鞋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3.2判定原则</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GB 30585-2014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GB 25036-2010</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QB/T 4331-2012</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 xml:space="preserve">QB/T 2880-2016 </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QB/T 4546-2013</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w:t>
      </w:r>
      <w:r>
        <w:rPr>
          <w:rFonts w:hint="eastAsia" w:ascii="仿宋_GB2312" w:hAnsi="仿宋_GB2312" w:eastAsia="仿宋_GB2312" w:cs="仿宋_GB2312"/>
          <w:color w:val="000000"/>
          <w:sz w:val="32"/>
          <w:szCs w:val="32"/>
          <w:shd w:val="clear" w:color="auto" w:fill="FFFFFF"/>
          <w:lang w:eastAsia="zh-CN"/>
        </w:rPr>
        <w:t>国家或行业</w:t>
      </w:r>
      <w:r>
        <w:rPr>
          <w:rFonts w:hint="eastAsia" w:ascii="仿宋_GB2312" w:hAnsi="仿宋_GB2312" w:eastAsia="仿宋_GB2312" w:cs="仿宋_GB2312"/>
          <w:color w:val="000000"/>
          <w:sz w:val="32"/>
          <w:szCs w:val="32"/>
          <w:shd w:val="clear" w:color="auto" w:fill="FFFFFF"/>
        </w:rPr>
        <w:t>强制性标准要求时，应按</w:t>
      </w:r>
      <w:r>
        <w:rPr>
          <w:rFonts w:hint="eastAsia" w:ascii="仿宋_GB2312" w:hAnsi="仿宋_GB2312" w:eastAsia="仿宋_GB2312" w:cs="仿宋_GB2312"/>
          <w:color w:val="000000"/>
          <w:sz w:val="32"/>
          <w:szCs w:val="32"/>
          <w:shd w:val="clear" w:color="auto" w:fill="FFFFFF"/>
          <w:lang w:eastAsia="zh-CN"/>
        </w:rPr>
        <w:t>国家或行业强制性标</w:t>
      </w:r>
      <w:r>
        <w:rPr>
          <w:rFonts w:hint="eastAsia" w:ascii="仿宋_GB2312" w:hAnsi="仿宋_GB2312" w:eastAsia="仿宋_GB2312" w:cs="仿宋_GB2312"/>
          <w:color w:val="000000"/>
          <w:sz w:val="32"/>
          <w:szCs w:val="32"/>
          <w:shd w:val="clear" w:color="auto" w:fill="FFFFFF"/>
        </w:rPr>
        <w:t>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w:t>
      </w:r>
      <w:r>
        <w:rPr>
          <w:rFonts w:hint="eastAsia" w:ascii="仿宋_GB2312" w:hAnsi="仿宋_GB2312" w:eastAsia="仿宋_GB2312" w:cs="仿宋_GB2312"/>
          <w:color w:val="000000"/>
          <w:sz w:val="32"/>
          <w:szCs w:val="32"/>
          <w:shd w:val="clear" w:color="auto" w:fill="FFFFFF"/>
          <w:lang w:val="en-US" w:eastAsia="zh-CN"/>
        </w:rPr>
        <w:t>(主要是产品通用重要特征值)时，应按本细则中检验项目的标准要求检验并判定。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D3BCD"/>
    <w:rsid w:val="380D3BCD"/>
    <w:rsid w:val="38DD2B65"/>
    <w:rsid w:val="433B5575"/>
    <w:rsid w:val="63162E9C"/>
    <w:rsid w:val="6DF90D83"/>
    <w:rsid w:val="6E36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2020-08-13T08:56:00Z</dcterms:created>
  <dc:creator>徐立君</dc:creator>
  <cp:lastModifiedBy>王鑫</cp:lastModifiedBy>
  <dcterms:modified xsi:type="dcterms:W3CDTF">2021-03-15T01:42:49Z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