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黑龙江省掺混肥料、复混肥料(复合肥料)、有机-无机复混肥料产品质量监督抽查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实施细则</w:t>
      </w:r>
      <w:r>
        <w:rPr>
          <w:rFonts w:hint="eastAsia" w:ascii="宋体" w:hAnsi="宋体" w:eastAsia="宋体" w:cs="宋体"/>
          <w:b w:val="0"/>
          <w:bCs w:val="0"/>
          <w:sz w:val="44"/>
          <w:szCs w:val="44"/>
          <w:lang w:eastAsia="zh-CN"/>
        </w:rPr>
        <w:t>（</w:t>
      </w:r>
      <w:r>
        <w:rPr>
          <w:rFonts w:hint="eastAsia" w:ascii="宋体" w:hAnsi="宋体" w:eastAsia="宋体" w:cs="宋体"/>
          <w:b w:val="0"/>
          <w:bCs w:val="0"/>
          <w:sz w:val="44"/>
          <w:szCs w:val="44"/>
          <w:lang w:val="en-US" w:eastAsia="zh-CN"/>
        </w:rPr>
        <w:t>2020年版</w:t>
      </w:r>
      <w:r>
        <w:rPr>
          <w:rFonts w:hint="eastAsia" w:ascii="宋体" w:hAnsi="宋体" w:eastAsia="宋体" w:cs="宋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宋体" w:hAnsi="宋体" w:eastAsia="宋体" w:cs="宋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sz w:val="44"/>
          <w:szCs w:val="44"/>
        </w:rPr>
      </w:pPr>
      <w:bookmarkStart w:id="0" w:name="_GoBack"/>
      <w:bookmarkEnd w:id="0"/>
    </w:p>
    <w:p>
      <w:pPr>
        <w:spacing w:line="360" w:lineRule="auto"/>
        <w:ind w:firstLine="643" w:firstLineChars="200"/>
        <w:jc w:val="left"/>
        <w:rPr>
          <w:rFonts w:eastAsia="黑体"/>
          <w:b/>
          <w:sz w:val="32"/>
          <w:szCs w:val="32"/>
        </w:rPr>
      </w:pPr>
      <w:r>
        <w:rPr>
          <w:rFonts w:hint="eastAsia" w:eastAsia="黑体"/>
          <w:b/>
          <w:sz w:val="32"/>
          <w:szCs w:val="32"/>
        </w:rPr>
        <w:t>一、产品名称及术语</w:t>
      </w:r>
    </w:p>
    <w:p>
      <w:pPr>
        <w:spacing w:line="360" w:lineRule="auto"/>
        <w:ind w:firstLine="643" w:firstLineChars="200"/>
        <w:jc w:val="left"/>
        <w:rPr>
          <w:rFonts w:ascii="楷体" w:hAnsi="楷体" w:eastAsia="楷体" w:cs="宋体"/>
          <w:b/>
          <w:sz w:val="32"/>
          <w:szCs w:val="32"/>
        </w:rPr>
      </w:pPr>
      <w:r>
        <w:rPr>
          <w:rFonts w:hint="eastAsia" w:ascii="楷体" w:hAnsi="楷体" w:eastAsia="楷体" w:cs="宋体"/>
          <w:b/>
          <w:sz w:val="32"/>
          <w:szCs w:val="32"/>
        </w:rPr>
        <w:t>（一）名称</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掺混肥料、复混肥料(复合肥料)、有机-无机复混肥料。</w:t>
      </w:r>
    </w:p>
    <w:p>
      <w:pPr>
        <w:spacing w:line="360" w:lineRule="auto"/>
        <w:ind w:firstLine="643" w:firstLineChars="200"/>
        <w:jc w:val="left"/>
        <w:rPr>
          <w:rFonts w:ascii="楷体" w:hAnsi="楷体" w:eastAsia="楷体"/>
          <w:b/>
          <w:bCs/>
          <w:sz w:val="32"/>
          <w:szCs w:val="32"/>
        </w:rPr>
      </w:pPr>
      <w:r>
        <w:rPr>
          <w:rFonts w:hint="eastAsia" w:ascii="楷体" w:hAnsi="楷体" w:eastAsia="楷体" w:cs="宋体"/>
          <w:b/>
          <w:sz w:val="32"/>
          <w:szCs w:val="32"/>
        </w:rPr>
        <w:t>（二）</w:t>
      </w:r>
      <w:r>
        <w:rPr>
          <w:rFonts w:hint="eastAsia" w:ascii="楷体" w:hAnsi="楷体" w:eastAsia="楷体"/>
          <w:b/>
          <w:bCs/>
          <w:sz w:val="32"/>
          <w:szCs w:val="32"/>
        </w:rPr>
        <w:t>术语</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1、掺混肥料：氮、磷、钾三种养分中，至少有两种养分标明量的由干混方法制成的颗粒状肥料，也称BB肥。</w:t>
      </w:r>
    </w:p>
    <w:p>
      <w:pPr>
        <w:pStyle w:val="6"/>
        <w:spacing w:line="360" w:lineRule="auto"/>
        <w:ind w:right="42" w:rightChars="20" w:firstLine="633" w:firstLineChars="198"/>
        <w:rPr>
          <w:rFonts w:hint="eastAsia" w:ascii="仿宋" w:hAnsi="仿宋" w:eastAsia="仿宋" w:cs="宋体"/>
          <w:spacing w:val="0"/>
          <w:kern w:val="2"/>
          <w:sz w:val="32"/>
          <w:szCs w:val="32"/>
        </w:rPr>
      </w:pPr>
      <w:r>
        <w:rPr>
          <w:rFonts w:hint="eastAsia" w:ascii="仿宋" w:hAnsi="仿宋" w:eastAsia="仿宋" w:cs="宋体"/>
          <w:spacing w:val="0"/>
          <w:kern w:val="2"/>
          <w:sz w:val="32"/>
          <w:szCs w:val="32"/>
        </w:rPr>
        <w:t>2、复混肥料：氮、磷、钾三种养分中，至少有两种养分标明量的由化学方法和（或）掺混方法制成的肥料。</w:t>
      </w:r>
    </w:p>
    <w:p>
      <w:pPr>
        <w:pStyle w:val="6"/>
        <w:spacing w:line="360" w:lineRule="auto"/>
        <w:ind w:right="42" w:rightChars="20" w:firstLine="633" w:firstLineChars="198"/>
        <w:rPr>
          <w:rFonts w:hint="eastAsia" w:ascii="仿宋" w:hAnsi="仿宋" w:eastAsia="仿宋" w:cs="宋体"/>
          <w:spacing w:val="0"/>
          <w:kern w:val="2"/>
          <w:sz w:val="32"/>
          <w:szCs w:val="32"/>
        </w:rPr>
      </w:pPr>
      <w:r>
        <w:rPr>
          <w:rFonts w:hint="eastAsia" w:ascii="仿宋" w:hAnsi="仿宋" w:eastAsia="仿宋" w:cs="宋体"/>
          <w:spacing w:val="0"/>
          <w:kern w:val="2"/>
          <w:sz w:val="32"/>
          <w:szCs w:val="32"/>
        </w:rPr>
        <w:t>3、复合肥料：氮、磷、钾三种养分中，至少有两种养分标明量的仅由化学方法制成的肥料，是复混肥料的一种。</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4、有机-无机复混肥料：含有一定量有机质的复混肥料。</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5、总养分：总氮、有效五氧化二磷和氧化钾含量之和，以质量分数计。</w:t>
      </w:r>
    </w:p>
    <w:p>
      <w:pPr>
        <w:pStyle w:val="6"/>
        <w:spacing w:line="360" w:lineRule="auto"/>
        <w:ind w:right="42" w:rightChars="20" w:firstLine="633" w:firstLineChars="198"/>
        <w:rPr>
          <w:rFonts w:hint="eastAsia" w:ascii="仿宋" w:hAnsi="仿宋" w:eastAsia="仿宋" w:cs="宋体"/>
          <w:spacing w:val="0"/>
          <w:kern w:val="2"/>
          <w:sz w:val="32"/>
          <w:szCs w:val="32"/>
        </w:rPr>
      </w:pPr>
      <w:r>
        <w:rPr>
          <w:rFonts w:hint="eastAsia" w:ascii="仿宋" w:hAnsi="仿宋" w:eastAsia="仿宋" w:cs="宋体"/>
          <w:spacing w:val="0"/>
          <w:kern w:val="2"/>
          <w:sz w:val="32"/>
          <w:szCs w:val="32"/>
        </w:rPr>
        <w:t>6、配合式：按N-P2O5-K2O（总氮－有效五氧化二磷－氧化钾）顺序，用阿拉伯数字分别表示其在复混肥料中所占百分比含量的一种方式。注：“0”表示肥料中不含该元素。</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7、含氯标识：</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1）掺混肥料：标称硫酸钾（型）、硝酸钾（型）、硫基等容易导致用户误认为不含氯产品的掺混肥料产品不应同时标明“含氯”。对于含氯肥料应用汉字明确标注“含氯”，而不是“氯”、“含Cl”或“Cl”等。</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2）复混肥料（复合肥料）：氯离子的质量分数大于3.0%的产品，应根据要求的“氯离子的质量分数”，用汉字明确标注“含氯（低氯）”、“含氯（中氯）”或“含氯（高氯）”，而不是标注“氯”、“含Cl”或“Cl”等。标明“含氯”的产品，包装容器上不应有忌氯作物的图片，也不应有“硫酸钾（型）”、“硝酸钾（型）”、“硫基”等容易导致用户误认为产品不含氯的标识。</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3）有机-无机复混肥料：标称硫酸钾（型）、硝酸钾（型）、硫基等容易导致用户误认为不含氯的产品不应同时标明“含氯”。含氯的产品应用汉字在正面明确标注“含氯”，而不是“氯”、“含Cl”或“Cl”等。</w:t>
      </w:r>
    </w:p>
    <w:p>
      <w:pPr>
        <w:spacing w:line="360" w:lineRule="auto"/>
        <w:ind w:left="482"/>
        <w:jc w:val="left"/>
        <w:rPr>
          <w:rFonts w:eastAsia="黑体"/>
          <w:b/>
          <w:sz w:val="32"/>
          <w:szCs w:val="32"/>
        </w:rPr>
      </w:pPr>
      <w:r>
        <w:rPr>
          <w:rFonts w:hint="eastAsia" w:eastAsia="黑体"/>
          <w:b/>
          <w:sz w:val="32"/>
          <w:szCs w:val="32"/>
        </w:rPr>
        <w:t xml:space="preserve">  二、抽样方法</w:t>
      </w:r>
    </w:p>
    <w:p>
      <w:pPr>
        <w:pStyle w:val="6"/>
        <w:spacing w:line="360" w:lineRule="auto"/>
        <w:ind w:right="42" w:rightChars="20" w:firstLine="643"/>
        <w:rPr>
          <w:rFonts w:ascii="楷体" w:hAnsi="楷体" w:eastAsia="楷体" w:cs="楷体"/>
          <w:b/>
          <w:spacing w:val="0"/>
          <w:kern w:val="2"/>
          <w:sz w:val="32"/>
          <w:szCs w:val="32"/>
        </w:rPr>
      </w:pPr>
      <w:r>
        <w:rPr>
          <w:rFonts w:hint="eastAsia" w:ascii="楷体" w:hAnsi="楷体" w:eastAsia="楷体" w:cs="楷体"/>
          <w:b/>
          <w:spacing w:val="0"/>
          <w:kern w:val="2"/>
          <w:sz w:val="32"/>
          <w:szCs w:val="32"/>
        </w:rPr>
        <w:t>（一）抽样型号或规格</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掺混肥料：注明配合式</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napToGrid w:val="0"/>
          <w:spacing w:val="0"/>
          <w:kern w:val="2"/>
          <w:sz w:val="32"/>
          <w:szCs w:val="32"/>
          <w:lang w:val="en-US" w:eastAsia="zh-CN" w:bidi="ar-SA"/>
        </w:rPr>
        <w:t>复混肥料（复合肥料）：高浓度</w:t>
      </w:r>
      <w:r>
        <w:rPr>
          <w:rFonts w:hint="eastAsia" w:ascii="仿宋" w:hAnsi="仿宋" w:eastAsia="仿宋" w:cs="宋体"/>
          <w:spacing w:val="0"/>
          <w:kern w:val="2"/>
          <w:sz w:val="32"/>
          <w:szCs w:val="32"/>
        </w:rPr>
        <w:t>、中浓度、低浓度</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有机-无机复混肥料：Ⅰ型、Ⅱ型</w:t>
      </w:r>
    </w:p>
    <w:p>
      <w:pPr>
        <w:spacing w:line="360" w:lineRule="auto"/>
        <w:ind w:right="42" w:rightChars="20" w:firstLine="570"/>
        <w:rPr>
          <w:rFonts w:ascii="仿宋" w:hAnsi="仿宋" w:eastAsia="仿宋" w:cs="宋体"/>
          <w:snapToGrid w:val="0"/>
          <w:sz w:val="32"/>
          <w:szCs w:val="32"/>
        </w:rPr>
      </w:pPr>
      <w:r>
        <w:rPr>
          <w:rFonts w:hint="eastAsia" w:ascii="楷体" w:hAnsi="楷体" w:eastAsia="楷体" w:cs="楷体"/>
          <w:b/>
          <w:snapToGrid w:val="0"/>
          <w:sz w:val="32"/>
          <w:szCs w:val="32"/>
        </w:rPr>
        <w:t>（二）抽样基数：</w:t>
      </w:r>
      <w:r>
        <w:rPr>
          <w:rFonts w:hint="eastAsia" w:ascii="仿宋" w:hAnsi="仿宋" w:eastAsia="仿宋" w:cs="宋体"/>
          <w:snapToGrid w:val="0"/>
          <w:sz w:val="32"/>
          <w:szCs w:val="32"/>
        </w:rPr>
        <w:t>生产领域抽样最低批量为1吨；流通领域满足抽样数量即可。</w:t>
      </w:r>
    </w:p>
    <w:p>
      <w:pPr>
        <w:pStyle w:val="6"/>
        <w:spacing w:line="360" w:lineRule="auto"/>
        <w:ind w:right="42" w:rightChars="20" w:firstLine="636" w:firstLineChars="198"/>
        <w:rPr>
          <w:rFonts w:ascii="仿宋" w:hAnsi="仿宋" w:eastAsia="仿宋" w:cs="宋体"/>
          <w:spacing w:val="0"/>
          <w:kern w:val="2"/>
          <w:sz w:val="32"/>
          <w:szCs w:val="32"/>
        </w:rPr>
      </w:pPr>
      <w:r>
        <w:rPr>
          <w:rFonts w:hint="eastAsia" w:ascii="楷体" w:hAnsi="楷体" w:eastAsia="楷体" w:cs="楷体"/>
          <w:b/>
          <w:spacing w:val="0"/>
          <w:kern w:val="2"/>
          <w:sz w:val="32"/>
          <w:szCs w:val="32"/>
        </w:rPr>
        <w:t>（三）抽样方式：</w:t>
      </w:r>
      <w:r>
        <w:rPr>
          <w:rFonts w:hint="eastAsia" w:ascii="仿宋" w:hAnsi="仿宋" w:eastAsia="仿宋" w:cs="宋体"/>
          <w:spacing w:val="0"/>
          <w:kern w:val="2"/>
          <w:sz w:val="32"/>
          <w:szCs w:val="32"/>
        </w:rPr>
        <w:t>根据省局随机抽取的生产企业名单和抽样人员随机确定的经营者名单，在被抽样企业库存的待出厂合格产品和经营者的待销产品中抽取。</w:t>
      </w:r>
    </w:p>
    <w:p>
      <w:pPr>
        <w:pStyle w:val="6"/>
        <w:spacing w:line="360" w:lineRule="auto"/>
        <w:ind w:right="42" w:rightChars="20" w:firstLine="640"/>
        <w:rPr>
          <w:rFonts w:ascii="仿宋" w:hAnsi="仿宋" w:eastAsia="仿宋"/>
          <w:sz w:val="32"/>
          <w:szCs w:val="32"/>
        </w:rPr>
      </w:pPr>
      <w:r>
        <w:rPr>
          <w:rFonts w:hint="eastAsia" w:ascii="仿宋" w:hAnsi="仿宋" w:eastAsia="仿宋" w:cs="宋体"/>
          <w:spacing w:val="0"/>
          <w:kern w:val="2"/>
          <w:sz w:val="32"/>
          <w:szCs w:val="32"/>
        </w:rPr>
        <w:t>抽取样品应为同一规格型号、同一批次产品。优先按以下原则抽取：所抽品种如有多种浓度规格则按就高原则抽取库存产品中浓度最高的产品。</w:t>
      </w:r>
      <w:r>
        <w:rPr>
          <w:rFonts w:hint="eastAsia" w:ascii="仿宋" w:hAnsi="仿宋" w:eastAsia="仿宋"/>
          <w:sz w:val="32"/>
          <w:szCs w:val="32"/>
        </w:rPr>
        <w:t>被抽样单位抽取不同类型产品不超过2个。</w:t>
      </w:r>
    </w:p>
    <w:p>
      <w:pPr>
        <w:pStyle w:val="6"/>
        <w:spacing w:line="360" w:lineRule="auto"/>
        <w:ind w:right="42" w:rightChars="20" w:firstLine="633" w:firstLineChars="198"/>
        <w:rPr>
          <w:rFonts w:ascii="仿宋" w:hAnsi="仿宋" w:eastAsia="仿宋" w:cs="宋体"/>
          <w:spacing w:val="0"/>
          <w:kern w:val="2"/>
          <w:sz w:val="32"/>
          <w:szCs w:val="32"/>
        </w:rPr>
      </w:pPr>
      <w:r>
        <w:rPr>
          <w:rFonts w:hint="eastAsia" w:ascii="仿宋" w:hAnsi="仿宋" w:eastAsia="仿宋" w:cs="宋体"/>
          <w:spacing w:val="0"/>
          <w:kern w:val="2"/>
          <w:sz w:val="32"/>
          <w:szCs w:val="32"/>
        </w:rPr>
        <w:t>固体肥料产品根据标准有关规定抽取。抽样时，袋装产品抽样时，若总的包装袋数小于512时，抽样袋数按表1“选取抽样袋数的规定”选取；大于512时，按3×</w:t>
      </w:r>
      <w:r>
        <w:rPr>
          <w:rFonts w:hint="eastAsia" w:ascii="仿宋" w:hAnsi="仿宋" w:eastAsia="仿宋" w:cs="宋体"/>
          <w:spacing w:val="0"/>
          <w:kern w:val="2"/>
          <w:sz w:val="32"/>
          <w:szCs w:val="32"/>
        </w:rPr>
        <w:object>
          <v:shape id="_x0000_i1025" o:spt="75" type="#_x0000_t75" style="height:17.65pt;width:23.1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仿宋" w:hAnsi="仿宋" w:eastAsia="仿宋" w:cs="宋体"/>
          <w:spacing w:val="0"/>
          <w:kern w:val="2"/>
          <w:sz w:val="32"/>
          <w:szCs w:val="32"/>
        </w:rPr>
        <w:t xml:space="preserve"> (N为总的包装袋数)的规定计算的袋数（遇小数进为整数）抽取样品。详见表1</w:t>
      </w:r>
    </w:p>
    <w:p>
      <w:pPr>
        <w:spacing w:line="360" w:lineRule="auto"/>
        <w:ind w:right="42" w:rightChars="20" w:firstLine="636" w:firstLineChars="198"/>
        <w:jc w:val="center"/>
        <w:rPr>
          <w:rFonts w:ascii="宋体" w:hAnsi="宋体"/>
          <w:b/>
          <w:color w:val="000000"/>
          <w:sz w:val="32"/>
          <w:szCs w:val="32"/>
        </w:rPr>
      </w:pPr>
      <w:r>
        <w:rPr>
          <w:rFonts w:hint="eastAsia" w:ascii="宋体" w:hAnsi="宋体"/>
          <w:b/>
          <w:color w:val="000000"/>
          <w:sz w:val="32"/>
          <w:szCs w:val="32"/>
        </w:rPr>
        <w:t>表1 选取抽样袋数的规定</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212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总的包装袋数</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选取的最少</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抽样袋数</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总的包装袋数</w:t>
            </w: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选取的最少抽样袋数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1～10</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全部</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182～216</w:t>
            </w: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11～49</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11</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217～254</w:t>
            </w: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50～64</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12</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255～296</w:t>
            </w: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65～81</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13</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297～343</w:t>
            </w: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82～101</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14</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344～394</w:t>
            </w: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102～125</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15</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395～450</w:t>
            </w: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126～151</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16</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451～512</w:t>
            </w: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5"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152～181</w:t>
            </w:r>
          </w:p>
        </w:tc>
        <w:tc>
          <w:tcPr>
            <w:tcW w:w="2410"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17</w:t>
            </w:r>
          </w:p>
        </w:tc>
        <w:tc>
          <w:tcPr>
            <w:tcW w:w="2126"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p>
        </w:tc>
        <w:tc>
          <w:tcPr>
            <w:tcW w:w="255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p>
        </w:tc>
      </w:tr>
    </w:tbl>
    <w:p>
      <w:pPr>
        <w:pStyle w:val="6"/>
        <w:spacing w:line="360" w:lineRule="auto"/>
        <w:ind w:right="42" w:rightChars="20" w:firstLine="636" w:firstLineChars="198"/>
        <w:rPr>
          <w:rFonts w:ascii="仿宋" w:hAnsi="仿宋" w:eastAsia="仿宋" w:cs="宋体"/>
          <w:spacing w:val="0"/>
          <w:kern w:val="2"/>
          <w:sz w:val="32"/>
          <w:szCs w:val="32"/>
        </w:rPr>
      </w:pPr>
      <w:r>
        <w:rPr>
          <w:rFonts w:hint="eastAsia" w:ascii="楷体" w:hAnsi="楷体" w:eastAsia="楷体" w:cs="楷体"/>
          <w:b/>
          <w:spacing w:val="0"/>
          <w:kern w:val="2"/>
          <w:sz w:val="32"/>
          <w:szCs w:val="32"/>
        </w:rPr>
        <w:t>（四）掺混肥料抽样要点。</w:t>
      </w:r>
      <w:r>
        <w:rPr>
          <w:rFonts w:hint="eastAsia" w:ascii="仿宋" w:hAnsi="仿宋" w:eastAsia="仿宋" w:cs="宋体"/>
          <w:spacing w:val="0"/>
          <w:kern w:val="2"/>
          <w:sz w:val="32"/>
          <w:szCs w:val="32"/>
        </w:rPr>
        <w:t>掺混肥料产品在抽样前，要将包装袋上下颠倒四至五次，并使用标准要求的取样器（采样探子）采样，采样时，先转动内管，使标记螺孔旋至外管凹槽的右边，使槽子关闭，用采样探子从包装袋的最长对角线插入至袋的二分之一处，转动内管，使槽子打开，样品进入内管，然后关闭槽子，再抽出采样探子，将样品倒入样品袋中。用采样探子，依次从每袋的四个角处，按上述取样方式采集样品，每袋取出四管（不少于200g样品），每批产品采取的总样品量不得少于4kg。样品缩分则必须使用格槽式缩分器按标准GB/T 21633-2008《掺混肥料（BB肥）》要求进行。</w:t>
      </w:r>
    </w:p>
    <w:p>
      <w:pPr>
        <w:pStyle w:val="6"/>
        <w:spacing w:line="360" w:lineRule="auto"/>
        <w:ind w:right="42" w:rightChars="20" w:firstLine="636" w:firstLineChars="198"/>
        <w:rPr>
          <w:rFonts w:ascii="仿宋" w:hAnsi="仿宋" w:eastAsia="仿宋" w:cs="宋体"/>
          <w:spacing w:val="0"/>
          <w:kern w:val="2"/>
          <w:sz w:val="32"/>
          <w:szCs w:val="32"/>
        </w:rPr>
      </w:pPr>
      <w:r>
        <w:rPr>
          <w:rFonts w:hint="eastAsia" w:ascii="楷体" w:hAnsi="楷体" w:eastAsia="楷体" w:cs="楷体"/>
          <w:b/>
          <w:spacing w:val="0"/>
          <w:kern w:val="2"/>
          <w:sz w:val="32"/>
          <w:szCs w:val="32"/>
        </w:rPr>
        <w:t>(五)样品处置。</w:t>
      </w:r>
      <w:r>
        <w:rPr>
          <w:rFonts w:hint="eastAsia" w:ascii="仿宋" w:hAnsi="仿宋" w:eastAsia="仿宋" w:cs="宋体"/>
          <w:spacing w:val="0"/>
          <w:kern w:val="2"/>
          <w:sz w:val="32"/>
          <w:szCs w:val="32"/>
        </w:rPr>
        <w:t>一般将采取的样品迅速混匀，用缩分器或四分法将样品缩分至约1kg左右，再缩分成</w:t>
      </w:r>
      <w:r>
        <w:rPr>
          <w:rFonts w:hint="eastAsia" w:ascii="仿宋" w:hAnsi="仿宋" w:eastAsia="仿宋" w:cs="宋体"/>
          <w:spacing w:val="0"/>
          <w:kern w:val="2"/>
          <w:sz w:val="32"/>
          <w:szCs w:val="32"/>
          <w:lang w:val="en-US" w:eastAsia="zh-CN"/>
        </w:rPr>
        <w:t>2</w:t>
      </w:r>
      <w:r>
        <w:rPr>
          <w:rFonts w:hint="eastAsia" w:ascii="仿宋" w:hAnsi="仿宋" w:eastAsia="仿宋" w:cs="宋体"/>
          <w:spacing w:val="0"/>
          <w:kern w:val="2"/>
          <w:sz w:val="32"/>
          <w:szCs w:val="32"/>
        </w:rPr>
        <w:t>份，分装在</w:t>
      </w:r>
      <w:r>
        <w:rPr>
          <w:rFonts w:hint="eastAsia" w:ascii="仿宋" w:hAnsi="仿宋" w:eastAsia="仿宋" w:cs="宋体"/>
          <w:spacing w:val="0"/>
          <w:kern w:val="2"/>
          <w:sz w:val="32"/>
          <w:szCs w:val="32"/>
          <w:lang w:val="en-US" w:eastAsia="zh-CN"/>
        </w:rPr>
        <w:t>2</w:t>
      </w:r>
      <w:r>
        <w:rPr>
          <w:rFonts w:hint="eastAsia" w:ascii="仿宋" w:hAnsi="仿宋" w:eastAsia="仿宋" w:cs="宋体"/>
          <w:spacing w:val="0"/>
          <w:kern w:val="2"/>
          <w:sz w:val="32"/>
          <w:szCs w:val="32"/>
        </w:rPr>
        <w:t>个清洁、干燥的500mL聚乙烯塑料瓶或具有磨口塞的广口瓶中，每瓶500g左右,分别密封并加贴识别标识和双方签字认可的封条。1瓶作为检验机构的检验样品，另外</w:t>
      </w:r>
      <w:r>
        <w:rPr>
          <w:rFonts w:hint="eastAsia" w:ascii="仿宋" w:hAnsi="仿宋" w:eastAsia="仿宋" w:cs="宋体"/>
          <w:spacing w:val="0"/>
          <w:kern w:val="2"/>
          <w:sz w:val="32"/>
          <w:szCs w:val="32"/>
          <w:lang w:val="en-US" w:eastAsia="zh-CN"/>
        </w:rPr>
        <w:t>1</w:t>
      </w:r>
      <w:r>
        <w:rPr>
          <w:rFonts w:hint="eastAsia" w:ascii="仿宋" w:hAnsi="仿宋" w:eastAsia="仿宋" w:cs="宋体"/>
          <w:spacing w:val="0"/>
          <w:kern w:val="2"/>
          <w:sz w:val="32"/>
          <w:szCs w:val="32"/>
        </w:rPr>
        <w:t>瓶作为备用样品由检验机构留存，作为企业申请复检或特殊情况下抽样组织单位判定检验机构抽样结果的备用样品。样品运输时应确保样品的物理、化学性状不被破坏。</w:t>
      </w:r>
    </w:p>
    <w:p>
      <w:pPr>
        <w:spacing w:line="360" w:lineRule="auto"/>
        <w:ind w:firstLine="643" w:firstLineChars="200"/>
        <w:jc w:val="left"/>
        <w:rPr>
          <w:rFonts w:ascii="黑体" w:hAnsi="黑体" w:eastAsia="黑体"/>
          <w:bCs/>
          <w:sz w:val="32"/>
          <w:szCs w:val="32"/>
        </w:rPr>
      </w:pPr>
      <w:r>
        <w:rPr>
          <w:rFonts w:hint="eastAsia" w:eastAsia="黑体"/>
          <w:b/>
          <w:bCs/>
          <w:sz w:val="32"/>
          <w:szCs w:val="32"/>
        </w:rPr>
        <w:t>三、检验依据</w:t>
      </w:r>
    </w:p>
    <w:p>
      <w:pPr>
        <w:spacing w:line="360" w:lineRule="auto"/>
        <w:ind w:right="42" w:rightChars="20" w:firstLine="636" w:firstLineChars="198"/>
        <w:jc w:val="center"/>
        <w:rPr>
          <w:rFonts w:hint="eastAsia" w:ascii="宋体" w:hAnsi="宋体" w:cs="Times New Roman"/>
          <w:b/>
          <w:color w:val="000000"/>
          <w:sz w:val="32"/>
          <w:szCs w:val="32"/>
        </w:rPr>
      </w:pPr>
      <w:r>
        <w:rPr>
          <w:rFonts w:hint="eastAsia" w:ascii="宋体" w:hAnsi="宋体" w:cs="Times New Roman"/>
          <w:b/>
          <w:color w:val="000000"/>
          <w:sz w:val="32"/>
          <w:szCs w:val="32"/>
        </w:rPr>
        <w:t>表</w:t>
      </w:r>
      <w:r>
        <w:rPr>
          <w:rFonts w:hint="eastAsia" w:ascii="宋体" w:hAnsi="宋体" w:cs="Times New Roman"/>
          <w:b/>
          <w:color w:val="000000"/>
          <w:sz w:val="32"/>
          <w:szCs w:val="32"/>
          <w:lang w:val="en-US" w:eastAsia="zh-CN"/>
        </w:rPr>
        <w:t>1</w:t>
      </w:r>
      <w:r>
        <w:rPr>
          <w:rFonts w:hint="eastAsia" w:ascii="宋体" w:hAnsi="宋体" w:cs="Times New Roman"/>
          <w:b/>
          <w:color w:val="000000"/>
          <w:sz w:val="32"/>
          <w:szCs w:val="32"/>
        </w:rPr>
        <w:t xml:space="preserve"> 掺混肥料</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96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序号</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检验项目</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总氮（N）的质量分数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21633-2008</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有效磷（P2O5）的质量分数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21633-2008</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3</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氧化钾（K2O）的质量分数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21633-2008</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4</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总养分（N+ P2O5+ K2O）的质量分数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21633-2008</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8572-2010</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8573-2017</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5</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氯离子的质量分数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21633-2008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6</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水溶磷占有效磷的百分率</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21633-2008</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7</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粒度</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21633-2008</w:t>
            </w:r>
          </w:p>
        </w:tc>
      </w:tr>
    </w:tbl>
    <w:p>
      <w:pPr>
        <w:spacing w:line="360" w:lineRule="auto"/>
        <w:ind w:right="42" w:rightChars="20" w:firstLine="636" w:firstLineChars="198"/>
        <w:jc w:val="center"/>
        <w:rPr>
          <w:rFonts w:hint="eastAsia" w:ascii="宋体" w:hAnsi="宋体" w:cs="Times New Roman"/>
          <w:b/>
          <w:color w:val="000000"/>
          <w:sz w:val="32"/>
          <w:szCs w:val="32"/>
        </w:rPr>
      </w:pPr>
      <w:r>
        <w:rPr>
          <w:rFonts w:hint="eastAsia" w:ascii="宋体" w:hAnsi="宋体" w:cs="Times New Roman"/>
          <w:b/>
          <w:color w:val="000000"/>
          <w:sz w:val="32"/>
          <w:szCs w:val="32"/>
        </w:rPr>
        <w:t>表</w:t>
      </w:r>
      <w:r>
        <w:rPr>
          <w:rFonts w:hint="eastAsia" w:ascii="宋体" w:hAnsi="宋体" w:cs="Times New Roman"/>
          <w:b/>
          <w:color w:val="000000"/>
          <w:sz w:val="32"/>
          <w:szCs w:val="32"/>
          <w:lang w:val="en-US" w:eastAsia="zh-CN"/>
        </w:rPr>
        <w:t>2</w:t>
      </w:r>
      <w:r>
        <w:rPr>
          <w:rFonts w:hint="eastAsia" w:ascii="宋体" w:hAnsi="宋体" w:cs="Times New Roman"/>
          <w:b/>
          <w:color w:val="000000"/>
          <w:sz w:val="32"/>
          <w:szCs w:val="32"/>
        </w:rPr>
        <w:t xml:space="preserve"> 复混肥料(复合肥料)</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96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序号</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检验项目</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1</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总氮（N）的质量分数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15063-2009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2</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有效磷（P2O5）的质量分数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15063-2009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3</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氧化钾（K2O）的质量分数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15063-2009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4</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总养分（N+ P2O5+ K2O）的质量分数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15063-2009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8572-2010</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8573-2017</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5</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氯离子的质量分数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15063-2009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6</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水溶性磷占有效磷百分率</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15063-2009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7</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粒度</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15063-2009</w:t>
            </w:r>
          </w:p>
        </w:tc>
      </w:tr>
    </w:tbl>
    <w:p>
      <w:pPr>
        <w:spacing w:line="360" w:lineRule="auto"/>
        <w:ind w:right="42" w:rightChars="20" w:firstLine="636" w:firstLineChars="198"/>
        <w:jc w:val="center"/>
        <w:rPr>
          <w:rFonts w:hint="eastAsia" w:ascii="宋体" w:hAnsi="宋体" w:cs="Times New Roman"/>
          <w:b/>
          <w:color w:val="000000"/>
          <w:sz w:val="32"/>
          <w:szCs w:val="32"/>
        </w:rPr>
      </w:pPr>
      <w:r>
        <w:rPr>
          <w:rFonts w:hint="eastAsia" w:ascii="宋体" w:hAnsi="宋体" w:cs="Times New Roman"/>
          <w:b/>
          <w:color w:val="000000"/>
          <w:sz w:val="32"/>
          <w:szCs w:val="32"/>
        </w:rPr>
        <w:t>表3 有机-无机复混肥料</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96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序号</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检验项目</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1</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总氮（N）的质量分数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17767.1-2008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2</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有效五氧化二磷（P2O5）的质量分数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3</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总氧化钾（K2O）的质量分数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4</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总养分（N+ P2O5+ K2O）的质量分数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17767.1-2008</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8573-2017</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5</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氯离子的质量分数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6</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有机质的质量分数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7</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蛔虫卵死亡率</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8</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粪大肠菌群数</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9</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砷及其化合物的质量分数（以As计）</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10</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镉及其化合物的质量分数（以Cd计）</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11</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铅及其化合物的质量分数（以Pb计）</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12</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铬及其化合物的质量分数（以Cr计）</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13</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汞及其化合物的质量分数（以Hg计）</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23349-2009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14</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粒度</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24891-2010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93"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15</w:t>
            </w:r>
          </w:p>
        </w:tc>
        <w:tc>
          <w:tcPr>
            <w:tcW w:w="4961"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rPr>
            </w:pPr>
            <w:r>
              <w:rPr>
                <w:rFonts w:hint="eastAsia" w:ascii="宋体" w:hAnsi="宋体" w:eastAsia="宋体" w:cs="Times New Roman"/>
                <w:color w:val="000000"/>
                <w:spacing w:val="0"/>
                <w:kern w:val="2"/>
                <w:sz w:val="28"/>
                <w:szCs w:val="28"/>
              </w:rPr>
              <w:t>酸碱度（pH）</w:t>
            </w:r>
          </w:p>
        </w:tc>
        <w:tc>
          <w:tcPr>
            <w:tcW w:w="3118" w:type="dxa"/>
            <w:vAlign w:val="center"/>
          </w:tcPr>
          <w:p>
            <w:pPr>
              <w:pStyle w:val="6"/>
              <w:spacing w:line="360" w:lineRule="auto"/>
              <w:ind w:left="35" w:leftChars="-51" w:right="-107" w:rightChars="-51" w:hanging="142" w:hangingChars="51"/>
              <w:jc w:val="center"/>
              <w:rPr>
                <w:rFonts w:hint="eastAsia" w:ascii="宋体" w:hAnsi="宋体" w:eastAsia="宋体" w:cs="Times New Roman"/>
                <w:color w:val="000000"/>
                <w:spacing w:val="0"/>
                <w:kern w:val="2"/>
                <w:sz w:val="28"/>
                <w:szCs w:val="28"/>
                <w:lang w:val="en-US" w:eastAsia="zh-CN"/>
              </w:rPr>
            </w:pPr>
            <w:r>
              <w:rPr>
                <w:rFonts w:hint="eastAsia" w:ascii="宋体" w:hAnsi="宋体" w:eastAsia="宋体" w:cs="Times New Roman"/>
                <w:color w:val="000000"/>
                <w:spacing w:val="0"/>
                <w:kern w:val="2"/>
                <w:sz w:val="28"/>
                <w:szCs w:val="28"/>
                <w:lang w:val="en-US" w:eastAsia="zh-CN"/>
              </w:rPr>
              <w:t>GB/T 18877-2009</w:t>
            </w:r>
          </w:p>
        </w:tc>
      </w:tr>
    </w:tbl>
    <w:p>
      <w:pPr>
        <w:ind w:firstLine="640" w:firstLineChars="200"/>
        <w:rPr>
          <w:rFonts w:hint="eastAsia" w:ascii="仿宋" w:hAnsi="仿宋" w:eastAsia="仿宋" w:cs="宋体"/>
          <w:snapToGrid w:val="0"/>
          <w:sz w:val="32"/>
          <w:szCs w:val="32"/>
        </w:rPr>
      </w:pPr>
      <w:r>
        <w:rPr>
          <w:rFonts w:hint="eastAsia" w:ascii="仿宋" w:hAnsi="仿宋" w:eastAsia="仿宋" w:cs="宋体"/>
          <w:snapToGrid w:val="0"/>
          <w:sz w:val="32"/>
          <w:szCs w:val="32"/>
        </w:rPr>
        <w:t>执行企业标准、团体标准、地方标准的产品，检验项目参照上述内容执行。</w:t>
      </w:r>
    </w:p>
    <w:p>
      <w:pPr>
        <w:ind w:firstLine="640" w:firstLineChars="200"/>
        <w:rPr>
          <w:rFonts w:hint="eastAsia" w:ascii="仿宋" w:hAnsi="仿宋" w:eastAsia="仿宋" w:cs="宋体"/>
          <w:snapToGrid w:val="0"/>
          <w:sz w:val="32"/>
          <w:szCs w:val="32"/>
        </w:rPr>
      </w:pPr>
      <w:r>
        <w:rPr>
          <w:rFonts w:hint="eastAsia" w:ascii="仿宋" w:hAnsi="仿宋" w:eastAsia="仿宋" w:cs="宋体"/>
          <w:snapToGrid w:val="0"/>
          <w:sz w:val="32"/>
          <w:szCs w:val="32"/>
        </w:rPr>
        <w:t>凡是注日期的文件，其随后所有的修改单（不包括勘误的内容）或修订版不适用于本细则。凡是不注日期的文件，其最新版本适用于本细则。</w:t>
      </w:r>
    </w:p>
    <w:p>
      <w:pPr>
        <w:spacing w:line="360" w:lineRule="auto"/>
        <w:ind w:firstLine="640" w:firstLineChars="200"/>
        <w:rPr>
          <w:rFonts w:ascii="黑体" w:hAnsi="黑体" w:eastAsia="黑体"/>
          <w:b/>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b/>
          <w:sz w:val="32"/>
          <w:szCs w:val="32"/>
        </w:rPr>
        <w:t>四、 判定规则</w:t>
      </w:r>
    </w:p>
    <w:p>
      <w:pPr>
        <w:pStyle w:val="6"/>
        <w:spacing w:line="360" w:lineRule="auto"/>
        <w:ind w:right="42" w:rightChars="20" w:firstLine="643"/>
        <w:rPr>
          <w:rFonts w:ascii="楷体" w:hAnsi="楷体" w:eastAsia="楷体" w:cs="楷体"/>
          <w:b/>
          <w:spacing w:val="0"/>
          <w:kern w:val="2"/>
          <w:sz w:val="32"/>
          <w:szCs w:val="32"/>
        </w:rPr>
      </w:pPr>
      <w:r>
        <w:rPr>
          <w:rFonts w:hint="eastAsia" w:ascii="楷体" w:hAnsi="楷体" w:eastAsia="楷体" w:cs="楷体"/>
          <w:b/>
          <w:spacing w:val="0"/>
          <w:kern w:val="2"/>
          <w:sz w:val="32"/>
          <w:szCs w:val="32"/>
        </w:rPr>
        <w:t>（一）依据标准</w:t>
      </w:r>
    </w:p>
    <w:p>
      <w:pPr>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rPr>
        <w:t>GB/T 21633-2008《掺混肥料（BB肥）》</w:t>
      </w:r>
    </w:p>
    <w:p>
      <w:pPr>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rPr>
        <w:t xml:space="preserve">GB/T 15063-2009《复混肥料（复合肥料）》     </w:t>
      </w:r>
    </w:p>
    <w:p>
      <w:pPr>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rPr>
        <w:t xml:space="preserve">GB/T 18877-2009《有机-无机复混肥料》      </w:t>
      </w:r>
    </w:p>
    <w:p>
      <w:pPr>
        <w:ind w:firstLine="640" w:firstLineChars="200"/>
        <w:rPr>
          <w:rFonts w:hint="eastAsia" w:ascii="仿宋" w:hAnsi="仿宋" w:eastAsia="仿宋" w:cs="宋体"/>
          <w:snapToGrid w:val="0"/>
          <w:sz w:val="32"/>
          <w:szCs w:val="32"/>
          <w:lang w:eastAsia="zh-CN"/>
        </w:rPr>
      </w:pPr>
      <w:r>
        <w:rPr>
          <w:rFonts w:hint="eastAsia" w:ascii="仿宋" w:hAnsi="仿宋" w:eastAsia="仿宋" w:cs="宋体"/>
          <w:snapToGrid w:val="0"/>
          <w:sz w:val="32"/>
          <w:szCs w:val="32"/>
        </w:rPr>
        <w:t>现行有效的企业标准、团体标准、地方标准及产品明示质量要求</w:t>
      </w:r>
      <w:r>
        <w:rPr>
          <w:rFonts w:hint="eastAsia" w:ascii="仿宋" w:hAnsi="仿宋" w:eastAsia="仿宋" w:cs="宋体"/>
          <w:snapToGrid w:val="0"/>
          <w:sz w:val="32"/>
          <w:szCs w:val="32"/>
          <w:lang w:eastAsia="zh-CN"/>
        </w:rPr>
        <w:t>。</w:t>
      </w:r>
    </w:p>
    <w:p>
      <w:pPr>
        <w:pStyle w:val="6"/>
        <w:spacing w:line="360" w:lineRule="auto"/>
        <w:ind w:right="42" w:rightChars="20" w:firstLine="643"/>
        <w:rPr>
          <w:rFonts w:ascii="楷体" w:hAnsi="楷体" w:eastAsia="楷体" w:cs="楷体"/>
          <w:b/>
          <w:spacing w:val="0"/>
          <w:kern w:val="2"/>
          <w:sz w:val="32"/>
          <w:szCs w:val="32"/>
        </w:rPr>
      </w:pPr>
      <w:r>
        <w:rPr>
          <w:rFonts w:hint="eastAsia" w:ascii="楷体" w:hAnsi="楷体" w:eastAsia="楷体" w:cs="楷体"/>
          <w:b/>
          <w:spacing w:val="0"/>
          <w:kern w:val="2"/>
          <w:sz w:val="32"/>
          <w:szCs w:val="32"/>
        </w:rPr>
        <w:t>（二）判定原则</w:t>
      </w:r>
    </w:p>
    <w:p>
      <w:pPr>
        <w:ind w:firstLine="573"/>
        <w:rPr>
          <w:rFonts w:hint="eastAsia" w:ascii="仿宋" w:hAnsi="仿宋" w:eastAsia="仿宋" w:cs="宋体"/>
          <w:snapToGrid w:val="0"/>
          <w:sz w:val="32"/>
          <w:szCs w:val="32"/>
        </w:rPr>
      </w:pPr>
      <w:r>
        <w:rPr>
          <w:rFonts w:hint="eastAsia" w:ascii="仿宋" w:hAnsi="仿宋" w:eastAsia="仿宋" w:cs="宋体"/>
          <w:snapToGrid w:val="0"/>
          <w:sz w:val="32"/>
          <w:szCs w:val="32"/>
        </w:rPr>
        <w:t>依据GB/T 21633-2008、GB/T 15063-2009、GB/T 18877-2009规定，经检验，检验项目全部符合质量要求，表明未发现被抽查产品不合格；参与判定的检验项目中任一项或一项以上不符合质量要求，判定为被抽查产品不合格。</w:t>
      </w:r>
    </w:p>
    <w:p>
      <w:pPr>
        <w:ind w:firstLine="573"/>
        <w:rPr>
          <w:rFonts w:ascii="仿宋" w:hAnsi="仿宋" w:eastAsia="仿宋" w:cs="宋体"/>
          <w:snapToGrid w:val="0"/>
          <w:sz w:val="32"/>
          <w:szCs w:val="32"/>
        </w:rPr>
      </w:pPr>
      <w:r>
        <w:rPr>
          <w:rFonts w:ascii="仿宋" w:hAnsi="仿宋" w:eastAsia="仿宋" w:cs="宋体"/>
          <w:snapToGrid w:val="0"/>
          <w:sz w:val="32"/>
          <w:szCs w:val="32"/>
        </w:rPr>
        <w:t>若被检产品明示的质量要求高于本细则中检验项目依据的标准要求时，应按被检产品明示的质量要求判定。</w:t>
      </w:r>
    </w:p>
    <w:p>
      <w:pPr>
        <w:ind w:firstLine="573"/>
        <w:rPr>
          <w:rFonts w:ascii="仿宋" w:hAnsi="仿宋" w:eastAsia="仿宋" w:cs="宋体"/>
          <w:snapToGrid w:val="0"/>
          <w:sz w:val="32"/>
          <w:szCs w:val="32"/>
        </w:rPr>
      </w:pPr>
      <w:r>
        <w:rPr>
          <w:rFonts w:ascii="仿宋" w:hAnsi="仿宋" w:eastAsia="仿宋" w:cs="宋体"/>
          <w:snapToGrid w:val="0"/>
          <w:sz w:val="32"/>
          <w:szCs w:val="32"/>
        </w:rPr>
        <w:t>若被检产品明示的质量要求低于本细则中检验项目依据的强制性标准要求时，应按照强制性标准要求判定。</w:t>
      </w:r>
    </w:p>
    <w:p>
      <w:pPr>
        <w:ind w:firstLine="573"/>
        <w:rPr>
          <w:rFonts w:ascii="仿宋" w:hAnsi="仿宋" w:eastAsia="仿宋" w:cs="宋体"/>
          <w:snapToGrid w:val="0"/>
          <w:sz w:val="32"/>
          <w:szCs w:val="32"/>
        </w:rPr>
      </w:pPr>
      <w:r>
        <w:rPr>
          <w:rFonts w:ascii="仿宋" w:hAnsi="仿宋" w:eastAsia="仿宋" w:cs="宋体"/>
          <w:snapToGrid w:val="0"/>
          <w:sz w:val="32"/>
          <w:szCs w:val="32"/>
        </w:rPr>
        <w:t>若被检产品明示的质量要求低于或包含本细则中检验项目依据的推荐性标准要求时，应以被检产品明示的质量要求判定。</w:t>
      </w:r>
    </w:p>
    <w:p>
      <w:pPr>
        <w:ind w:firstLine="573"/>
        <w:rPr>
          <w:rFonts w:ascii="仿宋" w:hAnsi="仿宋" w:eastAsia="仿宋" w:cs="宋体"/>
          <w:snapToGrid w:val="0"/>
          <w:sz w:val="32"/>
          <w:szCs w:val="32"/>
        </w:rPr>
      </w:pPr>
      <w:r>
        <w:rPr>
          <w:rFonts w:ascii="仿宋" w:hAnsi="仿宋" w:eastAsia="仿宋" w:cs="宋体"/>
          <w:snapToGrid w:val="0"/>
          <w:sz w:val="32"/>
          <w:szCs w:val="32"/>
        </w:rPr>
        <w:t>若被检产品明示的质量要求缺少本细则中检验项目依据的强制性标准要求时，应按照强制性标准要求判定。</w:t>
      </w:r>
    </w:p>
    <w:p>
      <w:pPr>
        <w:ind w:firstLine="573"/>
        <w:rPr>
          <w:rFonts w:ascii="仿宋" w:hAnsi="仿宋" w:eastAsia="仿宋" w:cs="宋体"/>
          <w:snapToGrid w:val="0"/>
          <w:sz w:val="32"/>
          <w:szCs w:val="32"/>
        </w:rPr>
      </w:pPr>
      <w:r>
        <w:rPr>
          <w:rFonts w:ascii="仿宋" w:hAnsi="仿宋" w:eastAsia="仿宋" w:cs="宋体"/>
          <w:snapToGrid w:val="0"/>
          <w:sz w:val="32"/>
          <w:szCs w:val="32"/>
        </w:rPr>
        <w:t>若被检产品明示的质量要求缺少本细则中检验项目依据的推荐性标准要求时，该项目不参与判定。</w:t>
      </w:r>
    </w:p>
    <w:p>
      <w:pPr>
        <w:pStyle w:val="6"/>
        <w:spacing w:line="360" w:lineRule="auto"/>
        <w:ind w:right="42" w:rightChars="20" w:firstLine="0" w:firstLineChars="0"/>
        <w:rPr>
          <w:rFonts w:ascii="仿宋" w:hAnsi="仿宋" w:eastAsia="仿宋"/>
          <w:sz w:val="32"/>
          <w:szCs w:val="32"/>
        </w:rPr>
      </w:pPr>
    </w:p>
    <w:p>
      <w:pPr>
        <w:pStyle w:val="6"/>
        <w:spacing w:line="360" w:lineRule="auto"/>
        <w:ind w:right="42" w:rightChars="20" w:firstLine="570"/>
        <w:rPr>
          <w:rFonts w:hAnsi="宋体"/>
          <w:b/>
          <w:sz w:val="28"/>
          <w:szCs w:val="28"/>
        </w:rPr>
      </w:pPr>
    </w:p>
    <w:p/>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二">
    <w:altName w:val="宋体"/>
    <w:panose1 w:val="00000000000000000000"/>
    <w:charset w:val="86"/>
    <w:family w:val="modern"/>
    <w:pitch w:val="default"/>
    <w:sig w:usb0="00000000" w:usb1="00000000" w:usb2="0000001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lang w:eastAsia="zh-CN"/>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ApqiUpQEAAE8DAAAOAAAAAAAA&#10;AAEAIAAAAB4BAABkcnMvZTJvRG9jLnhtbFBLBQYAAAAABgAGAFkBAAA1BQAAAAA=&#10;">
              <v:fill on="f" focussize="0,0"/>
              <v:stroke on="f"/>
              <v:imagedata o:title=""/>
              <o:lock v:ext="edit" aspectratio="f"/>
              <v:textbox inset="0mm,0mm,0mm,0mm" style="mso-fit-shape-to-text:t;">
                <w:txbxContent>
                  <w:p>
                    <w:pPr>
                      <w:pStyle w:val="2"/>
                    </w:pPr>
                    <w:r>
                      <w:rPr>
                        <w:rFonts w:hint="eastAsia"/>
                      </w:rPr>
                      <w:fldChar w:fldCharType="begin"/>
                    </w:r>
                    <w:r>
                      <w:rPr>
                        <w:rFonts w:hint="eastAsia"/>
                        <w:lang w:eastAsia="zh-CN"/>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AC"/>
    <w:rsid w:val="004F0AAC"/>
    <w:rsid w:val="2AC8782E"/>
    <w:rsid w:val="5FF67906"/>
    <w:rsid w:val="640278A9"/>
    <w:rsid w:val="64894EF4"/>
    <w:rsid w:val="7B22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2020-08-13T09:10:00Z</dcterms:created>
  <dc:creator>徐立君</dc:creator>
  <cp:lastModifiedBy>王鑫</cp:lastModifiedBy>
  <dcterms:modified xsi:type="dcterms:W3CDTF">2021-03-15T02:32:50Z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