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黑龙江省溶剂型木器涂料产品质量省级监督抽查实施细则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numPr>
          <w:ilvl w:val="0"/>
          <w:numId w:val="0"/>
        </w:num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keepNext w:val="0"/>
        <w:keepLines w:val="0"/>
        <w:pageBreakBefore w:val="0"/>
        <w:numPr>
          <w:ilvl w:val="0"/>
          <w:numId w:val="0"/>
        </w:numPr>
        <w:tabs>
          <w:tab w:val="left" w:pos="676"/>
          <w:tab w:val="center" w:pos="4213"/>
        </w:tabs>
        <w:kinsoku/>
        <w:wordWrap/>
        <w:overflowPunct/>
        <w:topLinePunct w:val="0"/>
        <w:autoSpaceDE/>
        <w:autoSpaceDN/>
        <w:bidi w:val="0"/>
        <w:adjustRightInd/>
        <w:ind w:right="0"/>
        <w:jc w:val="left"/>
        <w:textAlignment w:val="auto"/>
        <w:outlineLvl w:val="9"/>
        <w:rPr>
          <w:rFonts w:hint="eastAsia" w:ascii="黑体" w:hAnsi="黑体" w:eastAsia="黑体" w:cs="黑体"/>
          <w:color w:val="000000"/>
          <w:sz w:val="32"/>
          <w:szCs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keepNext w:val="0"/>
        <w:keepLines w:val="0"/>
        <w:pageBreakBefore w:val="0"/>
        <w:kinsoku/>
        <w:wordWrap/>
        <w:overflowPunct/>
        <w:topLinePunct w:val="0"/>
        <w:autoSpaceDE/>
        <w:autoSpaceDN/>
        <w:bidi w:val="0"/>
        <w:adjustRightInd/>
        <w:snapToGrid w:val="0"/>
        <w:spacing w:line="360" w:lineRule="auto"/>
        <w:ind w:right="0" w:firstLine="636" w:firstLineChars="199"/>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keepNext w:val="0"/>
        <w:keepLines w:val="0"/>
        <w:pageBreakBefore w:val="0"/>
        <w:kinsoku/>
        <w:wordWrap/>
        <w:overflowPunct/>
        <w:topLinePunct w:val="0"/>
        <w:autoSpaceDE/>
        <w:autoSpaceDN/>
        <w:bidi w:val="0"/>
        <w:adjustRightInd/>
        <w:snapToGrid w:val="0"/>
        <w:spacing w:line="360" w:lineRule="auto"/>
        <w:ind w:right="0" w:firstLine="636" w:firstLineChars="199"/>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随机数一般可使用随机数表、骰子或扑克牌等方法产生。</w:t>
      </w:r>
    </w:p>
    <w:p>
      <w:pPr>
        <w:keepNext w:val="0"/>
        <w:keepLines w:val="0"/>
        <w:pageBreakBefore w:val="0"/>
        <w:kinsoku/>
        <w:wordWrap/>
        <w:overflowPunct/>
        <w:topLinePunct w:val="0"/>
        <w:autoSpaceDE/>
        <w:autoSpaceDN/>
        <w:bidi w:val="0"/>
        <w:adjustRightInd/>
        <w:snapToGrid w:val="0"/>
        <w:spacing w:line="360" w:lineRule="auto"/>
        <w:ind w:right="0" w:firstLine="636" w:firstLineChars="199"/>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在生产领域抽样，独立包装产品质量≤5kg时，同一批次产品抽样基数不少于20个独立包装；在贮罐、大桶或其他较大容器中抽样，抽样基数不低于100kg，搅拌均匀后抽取样品。</w:t>
      </w:r>
    </w:p>
    <w:p>
      <w:pPr>
        <w:keepNext w:val="0"/>
        <w:keepLines w:val="0"/>
        <w:pageBreakBefore w:val="0"/>
        <w:kinsoku/>
        <w:wordWrap/>
        <w:overflowPunct/>
        <w:topLinePunct w:val="0"/>
        <w:autoSpaceDE/>
        <w:autoSpaceDN/>
        <w:bidi w:val="0"/>
        <w:adjustRightInd/>
        <w:snapToGrid w:val="0"/>
        <w:spacing w:line="360" w:lineRule="auto"/>
        <w:ind w:right="0" w:firstLine="636" w:firstLineChars="199"/>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在流通领域抽样，抽样基数</w:t>
      </w:r>
      <w:r>
        <w:rPr>
          <w:rFonts w:hint="eastAsia" w:ascii="仿宋_GB2312" w:hAnsi="仿宋_GB2312" w:eastAsia="仿宋_GB2312" w:cs="仿宋_GB2312"/>
          <w:color w:val="000000"/>
          <w:sz w:val="32"/>
          <w:szCs w:val="32"/>
          <w:shd w:val="clear" w:color="auto" w:fill="FFFFFF"/>
          <w:lang w:eastAsia="zh-CN"/>
        </w:rPr>
        <w:t>应不少于</w:t>
      </w:r>
      <w:r>
        <w:rPr>
          <w:rFonts w:hint="eastAsia" w:ascii="仿宋_GB2312" w:hAnsi="仿宋_GB2312" w:eastAsia="仿宋_GB2312" w:cs="仿宋_GB2312"/>
          <w:color w:val="000000"/>
          <w:sz w:val="32"/>
          <w:szCs w:val="32"/>
          <w:shd w:val="clear" w:color="auto" w:fill="FFFFFF"/>
        </w:rPr>
        <w:t>抽取样品量。</w:t>
      </w:r>
    </w:p>
    <w:p>
      <w:pPr>
        <w:pStyle w:val="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360" w:lineRule="auto"/>
        <w:ind w:right="0" w:firstLine="640" w:firstLineChars="200"/>
        <w:jc w:val="center"/>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表1 抽样数量表</w:t>
      </w:r>
    </w:p>
    <w:tbl>
      <w:tblPr>
        <w:tblStyle w:val="4"/>
        <w:tblW w:w="8497"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6" w:type="dxa"/>
            <w:vAlign w:val="center"/>
          </w:tcPr>
          <w:p>
            <w:pPr>
              <w:pStyle w:val="5"/>
              <w:keepNext w:val="0"/>
              <w:keepLines w:val="0"/>
              <w:pageBreakBefore w:val="0"/>
              <w:widowControl w:val="0"/>
              <w:kinsoku/>
              <w:wordWrap/>
              <w:overflowPunct/>
              <w:topLinePunct w:val="0"/>
              <w:autoSpaceDE/>
              <w:autoSpaceDN/>
              <w:bidi w:val="0"/>
              <w:adjustRightInd/>
              <w:spacing w:line="0" w:lineRule="atLeas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产品种类</w:t>
            </w:r>
          </w:p>
        </w:tc>
        <w:tc>
          <w:tcPr>
            <w:tcW w:w="6001" w:type="dxa"/>
            <w:vAlign w:val="center"/>
          </w:tcPr>
          <w:p>
            <w:pPr>
              <w:pStyle w:val="5"/>
              <w:keepNext w:val="0"/>
              <w:keepLines w:val="0"/>
              <w:pageBreakBefore w:val="0"/>
              <w:widowControl w:val="0"/>
              <w:kinsoku/>
              <w:wordWrap/>
              <w:overflowPunct/>
              <w:topLinePunct w:val="0"/>
              <w:autoSpaceDE/>
              <w:autoSpaceDN/>
              <w:bidi w:val="0"/>
              <w:adjustRightInd/>
              <w:spacing w:line="0" w:lineRule="atLeast"/>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抽样量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6" w:type="dxa"/>
            <w:vAlign w:val="center"/>
          </w:tcPr>
          <w:p>
            <w:pPr>
              <w:pStyle w:val="5"/>
              <w:keepNext w:val="0"/>
              <w:keepLines w:val="0"/>
              <w:pageBreakBefore w:val="0"/>
              <w:widowControl w:val="0"/>
              <w:kinsoku/>
              <w:wordWrap/>
              <w:overflowPunct/>
              <w:topLinePunct w:val="0"/>
              <w:autoSpaceDE/>
              <w:autoSpaceDN/>
              <w:bidi w:val="0"/>
              <w:adjustRightInd/>
              <w:spacing w:line="0" w:lineRule="atLeas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溶剂型聚氨酯涂料</w:t>
            </w:r>
          </w:p>
        </w:tc>
        <w:tc>
          <w:tcPr>
            <w:tcW w:w="6001" w:type="dxa"/>
            <w:vAlign w:val="center"/>
          </w:tcPr>
          <w:p>
            <w:pPr>
              <w:pStyle w:val="5"/>
              <w:keepNext w:val="0"/>
              <w:keepLines w:val="0"/>
              <w:pageBreakBefore w:val="0"/>
              <w:widowControl w:val="0"/>
              <w:kinsoku/>
              <w:wordWrap/>
              <w:overflowPunct/>
              <w:topLinePunct w:val="0"/>
              <w:autoSpaceDE/>
              <w:autoSpaceDN/>
              <w:bidi w:val="0"/>
              <w:adjustRightInd/>
              <w:spacing w:line="0" w:lineRule="atLeas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主剂：1kg/桶×2份，固化剂按配比抽取样品2份，如有稀释剂按配比抽取样品2份。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6" w:type="dxa"/>
            <w:vAlign w:val="center"/>
          </w:tcPr>
          <w:p>
            <w:pPr>
              <w:pStyle w:val="5"/>
              <w:keepNext w:val="0"/>
              <w:keepLines w:val="0"/>
              <w:pageBreakBefore w:val="0"/>
              <w:widowControl w:val="0"/>
              <w:kinsoku/>
              <w:wordWrap/>
              <w:overflowPunct/>
              <w:topLinePunct w:val="0"/>
              <w:autoSpaceDE/>
              <w:autoSpaceDN/>
              <w:bidi w:val="0"/>
              <w:adjustRightInd/>
              <w:spacing w:line="0" w:lineRule="atLeas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醇酸涂料</w:t>
            </w:r>
          </w:p>
        </w:tc>
        <w:tc>
          <w:tcPr>
            <w:tcW w:w="6001" w:type="dxa"/>
            <w:vAlign w:val="center"/>
          </w:tcPr>
          <w:p>
            <w:pPr>
              <w:pStyle w:val="5"/>
              <w:keepNext w:val="0"/>
              <w:keepLines w:val="0"/>
              <w:pageBreakBefore w:val="0"/>
              <w:widowControl w:val="0"/>
              <w:kinsoku/>
              <w:wordWrap/>
              <w:overflowPunct/>
              <w:topLinePunct w:val="0"/>
              <w:autoSpaceDE/>
              <w:autoSpaceDN/>
              <w:bidi w:val="0"/>
              <w:adjustRightIn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2kg/桶×2份，如有稀释剂按配比抽取样品2份。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8497" w:type="dxa"/>
            <w:gridSpan w:val="2"/>
            <w:vAlign w:val="center"/>
          </w:tcPr>
          <w:p>
            <w:pPr>
              <w:pStyle w:val="5"/>
              <w:keepNext w:val="0"/>
              <w:keepLines w:val="0"/>
              <w:pageBreakBefore w:val="0"/>
              <w:widowControl w:val="0"/>
              <w:kinsoku/>
              <w:wordWrap/>
              <w:overflowPunct/>
              <w:topLinePunct w:val="0"/>
              <w:autoSpaceDE/>
              <w:autoSpaceDN/>
              <w:bidi w:val="0"/>
              <w:adjustRightInd/>
              <w:spacing w:line="0" w:lineRule="atLeas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注：1、所抽的2份样品，一份为检验样品</w:t>
            </w:r>
            <w:r>
              <w:rPr>
                <w:rFonts w:hint="eastAsia" w:ascii="仿宋_GB2312" w:hAnsi="仿宋_GB2312" w:eastAsia="仿宋_GB2312" w:cs="仿宋_GB2312"/>
                <w:sz w:val="28"/>
                <w:szCs w:val="28"/>
                <w:lang w:val="en-US" w:eastAsia="zh-CN"/>
              </w:rPr>
              <w:t>，一份为备用样品。</w:t>
            </w:r>
          </w:p>
          <w:p>
            <w:pPr>
              <w:pStyle w:val="5"/>
              <w:keepNext w:val="0"/>
              <w:keepLines w:val="0"/>
              <w:pageBreakBefore w:val="0"/>
              <w:widowControl w:val="0"/>
              <w:kinsoku/>
              <w:wordWrap/>
              <w:overflowPunct/>
              <w:topLinePunct w:val="0"/>
              <w:autoSpaceDE/>
              <w:autoSpaceDN/>
              <w:bidi w:val="0"/>
              <w:adjustRightInd/>
              <w:spacing w:line="0" w:lineRule="atLeas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2、其他树脂类型的涂料，双组分的抽样量参照溶剂型聚氨酯涂料（双组分）；单组分的抽样量参照醇酸涂料。</w:t>
            </w:r>
          </w:p>
        </w:tc>
      </w:tr>
    </w:tbl>
    <w:p>
      <w:pPr>
        <w:keepNext w:val="0"/>
        <w:keepLines w:val="0"/>
        <w:pageBreakBefore w:val="0"/>
        <w:widowControl w:val="0"/>
        <w:kinsoku/>
        <w:wordWrap/>
        <w:overflowPunct/>
        <w:topLinePunct w:val="0"/>
        <w:autoSpaceDE/>
        <w:autoSpaceDN/>
        <w:bidi w:val="0"/>
        <w:adjustRightInd/>
        <w:snapToGrid w:val="0"/>
        <w:spacing w:line="0" w:lineRule="atLeast"/>
        <w:ind w:firstLine="560" w:firstLineChars="200"/>
        <w:textAlignment w:val="auto"/>
        <w:outlineLvl w:val="9"/>
        <w:rPr>
          <w:rFonts w:hint="eastAsia" w:ascii="宋体" w:hAnsi="宋体"/>
          <w:color w:val="000000"/>
          <w:sz w:val="28"/>
          <w:szCs w:val="28"/>
        </w:rPr>
      </w:pPr>
    </w:p>
    <w:p>
      <w:pPr>
        <w:pStyle w:val="2"/>
        <w:widowControl/>
        <w:shd w:val="clear" w:color="auto" w:fill="FFFFFF"/>
        <w:spacing w:before="0" w:beforeAutospacing="0" w:after="0" w:afterAutospacing="0" w:line="360" w:lineRule="auto"/>
        <w:ind w:right="45"/>
        <w:rPr>
          <w:rFonts w:hint="eastAsia"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2 检验依据</w:t>
      </w:r>
    </w:p>
    <w:p>
      <w:pPr>
        <w:pStyle w:val="2"/>
        <w:widowControl/>
        <w:shd w:val="clear" w:color="auto" w:fill="FFFFFF"/>
        <w:spacing w:before="0" w:beforeAutospacing="0" w:after="0" w:afterAutospacing="0" w:line="360" w:lineRule="auto"/>
        <w:ind w:right="45" w:firstLine="640" w:firstLineChars="200"/>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表</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 xml:space="preserve">  溶剂型聚氨酯涂料（双组分）</w:t>
      </w:r>
    </w:p>
    <w:tbl>
      <w:tblPr>
        <w:tblStyle w:val="4"/>
        <w:tblW w:w="8347"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685"/>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368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367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干燥时间 </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GB/T1728-1979 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铅笔硬度</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划格试验</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GB/T9286-1998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耐干热性</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GB/T9286-1998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耐水性</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1733-1993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耐碱性</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9274-1988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w:t>
            </w:r>
            <w:r>
              <w:rPr>
                <w:rFonts w:hint="eastAsia" w:ascii="仿宋_GB2312" w:hAnsi="仿宋_GB2312" w:eastAsia="仿宋_GB2312" w:cs="仿宋_GB2312"/>
                <w:sz w:val="28"/>
                <w:szCs w:val="28"/>
                <w:lang w:eastAsia="zh-CN"/>
              </w:rPr>
              <w:t>酸</w:t>
            </w:r>
            <w:r>
              <w:rPr>
                <w:rFonts w:hint="eastAsia" w:ascii="仿宋_GB2312" w:hAnsi="仿宋_GB2312" w:eastAsia="仿宋_GB2312" w:cs="仿宋_GB2312"/>
                <w:sz w:val="28"/>
                <w:szCs w:val="28"/>
              </w:rPr>
              <w:t>性 </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9274-1988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铅笔硬度</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w:t>
            </w:r>
            <w:r>
              <w:rPr>
                <w:rFonts w:hint="eastAsia" w:ascii="仿宋_GB2312" w:hAnsi="仿宋_GB2312" w:eastAsia="仿宋_GB2312" w:cs="仿宋_GB2312"/>
                <w:sz w:val="28"/>
                <w:szCs w:val="28"/>
                <w:lang w:eastAsia="zh-CN"/>
              </w:rPr>
              <w:t>盐水</w:t>
            </w:r>
            <w:r>
              <w:rPr>
                <w:rFonts w:hint="eastAsia" w:ascii="仿宋_GB2312" w:hAnsi="仿宋_GB2312" w:eastAsia="仿宋_GB2312" w:cs="仿宋_GB2312"/>
                <w:sz w:val="28"/>
                <w:szCs w:val="28"/>
              </w:rPr>
              <w:t>性</w:t>
            </w:r>
          </w:p>
        </w:tc>
        <w:tc>
          <w:tcPr>
            <w:tcW w:w="3676" w:type="dxa"/>
            <w:vAlign w:val="center"/>
          </w:tcPr>
          <w:p>
            <w:pPr>
              <w:pStyle w:val="5"/>
              <w:keepNext w:val="0"/>
              <w:keepLines w:val="0"/>
              <w:pageBreakBefore w:val="0"/>
              <w:kinsoku/>
              <w:wordWrap/>
              <w:overflowPunct/>
              <w:topLinePunct w:val="0"/>
              <w:autoSpaceDE/>
              <w:autoSpaceDN/>
              <w:bidi w:val="0"/>
              <w:spacing w:line="240" w:lineRule="auto"/>
              <w:ind w:firstLine="5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9274-1988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挥发性有机化合物（VOC）</w:t>
            </w:r>
          </w:p>
        </w:tc>
        <w:tc>
          <w:tcPr>
            <w:tcW w:w="3676"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苯</w:t>
            </w:r>
          </w:p>
        </w:tc>
        <w:tc>
          <w:tcPr>
            <w:tcW w:w="3676"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甲苯和二甲苯总和</w:t>
            </w:r>
          </w:p>
        </w:tc>
        <w:tc>
          <w:tcPr>
            <w:tcW w:w="3676"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685"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重金属（铅、镉、铬、汞）</w:t>
            </w:r>
          </w:p>
        </w:tc>
        <w:tc>
          <w:tcPr>
            <w:tcW w:w="3676" w:type="dxa"/>
            <w:vAlign w:val="center"/>
          </w:tcPr>
          <w:p>
            <w:pPr>
              <w:pStyle w:val="5"/>
              <w:keepNext w:val="0"/>
              <w:keepLines w:val="0"/>
              <w:pageBreakBefore w:val="0"/>
              <w:kinsoku/>
              <w:wordWrap/>
              <w:overflowPunct/>
              <w:topLinePunct w:val="0"/>
              <w:autoSpaceDE/>
              <w:autoSpaceDN/>
              <w:bidi w:val="0"/>
              <w:spacing w:line="240" w:lineRule="auto"/>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bl>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240" w:lineRule="auto"/>
        <w:ind w:right="45" w:firstLine="640" w:firstLineChars="200"/>
        <w:jc w:val="center"/>
        <w:textAlignment w:val="auto"/>
        <w:outlineLvl w:val="9"/>
        <w:rPr>
          <w:rFonts w:hint="eastAsia" w:ascii="仿宋_GB2312" w:hAnsi="仿宋_GB2312" w:eastAsia="仿宋_GB2312" w:cs="仿宋_GB2312"/>
          <w:color w:val="auto"/>
          <w:sz w:val="32"/>
          <w:szCs w:val="32"/>
          <w:shd w:val="clear" w:color="auto" w:fill="FFFFFF"/>
        </w:rPr>
      </w:pPr>
    </w:p>
    <w:p>
      <w:pPr>
        <w:pStyle w:val="2"/>
        <w:widowControl/>
        <w:shd w:val="clear" w:color="auto" w:fill="FFFFFF"/>
        <w:spacing w:before="0" w:beforeAutospacing="0" w:after="0" w:afterAutospacing="0" w:line="360" w:lineRule="auto"/>
        <w:ind w:right="45" w:firstLine="640" w:firstLineChars="200"/>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表</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 xml:space="preserve">  醇酸树脂涂料</w:t>
      </w:r>
    </w:p>
    <w:tbl>
      <w:tblPr>
        <w:tblStyle w:val="4"/>
        <w:tblW w:w="830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453"/>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4453" w:type="dxa"/>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检验项目</w:t>
            </w:r>
          </w:p>
        </w:tc>
        <w:tc>
          <w:tcPr>
            <w:tcW w:w="2992" w:type="dxa"/>
            <w:vAlign w:val="center"/>
          </w:tcPr>
          <w:p>
            <w:pPr>
              <w:adjustRightInd w:val="0"/>
              <w:snapToGrid w:val="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53" w:type="dxa"/>
            <w:vAlign w:val="center"/>
          </w:tcPr>
          <w:p>
            <w:pPr>
              <w:jc w:val="center"/>
              <w:rPr>
                <w:rFonts w:hint="eastAsia" w:ascii="仿宋_GB2312" w:hAnsi="仿宋_GB2312" w:eastAsia="仿宋_GB2312" w:cs="仿宋_GB2312"/>
                <w:kern w:val="0"/>
                <w:sz w:val="28"/>
                <w:szCs w:val="28"/>
                <w:lang w:val="zh-TW" w:eastAsia="zh-TW" w:bidi="zh-TW"/>
              </w:rPr>
            </w:pPr>
            <w:r>
              <w:rPr>
                <w:rFonts w:hint="eastAsia" w:ascii="仿宋_GB2312" w:hAnsi="仿宋_GB2312" w:eastAsia="仿宋_GB2312" w:cs="仿宋_GB2312"/>
                <w:kern w:val="0"/>
                <w:sz w:val="28"/>
                <w:szCs w:val="28"/>
                <w:lang w:val="zh-TW" w:eastAsia="zh-TW" w:bidi="zh-TW"/>
              </w:rPr>
              <w:t>流出时间（ISO 6号杯）</w:t>
            </w:r>
          </w:p>
        </w:tc>
        <w:tc>
          <w:tcPr>
            <w:tcW w:w="2992" w:type="dxa"/>
            <w:vAlign w:val="center"/>
          </w:tcPr>
          <w:p>
            <w:pPr>
              <w:pStyle w:val="5"/>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6753.4-1998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53" w:type="dxa"/>
            <w:vAlign w:val="center"/>
          </w:tcPr>
          <w:p>
            <w:pPr>
              <w:jc w:val="center"/>
              <w:rPr>
                <w:rFonts w:hint="eastAsia" w:ascii="仿宋_GB2312" w:hAnsi="仿宋_GB2312" w:eastAsia="仿宋_GB2312" w:cs="仿宋_GB2312"/>
                <w:kern w:val="0"/>
                <w:sz w:val="28"/>
                <w:szCs w:val="28"/>
                <w:lang w:val="zh-TW" w:eastAsia="zh-TW" w:bidi="zh-TW"/>
              </w:rPr>
            </w:pPr>
            <w:r>
              <w:rPr>
                <w:rFonts w:hint="eastAsia" w:ascii="仿宋_GB2312" w:hAnsi="仿宋_GB2312" w:eastAsia="仿宋_GB2312" w:cs="仿宋_GB2312"/>
                <w:kern w:val="0"/>
                <w:sz w:val="28"/>
                <w:szCs w:val="28"/>
                <w:lang w:val="zh-TW" w:eastAsia="zh-TW" w:bidi="zh-TW"/>
              </w:rPr>
              <w:t>细度</w:t>
            </w:r>
          </w:p>
        </w:tc>
        <w:tc>
          <w:tcPr>
            <w:tcW w:w="2992" w:type="dxa"/>
            <w:vAlign w:val="center"/>
          </w:tcPr>
          <w:p>
            <w:pPr>
              <w:pStyle w:val="5"/>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6753.1-2007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53" w:type="dxa"/>
            <w:vAlign w:val="center"/>
          </w:tcPr>
          <w:p>
            <w:pPr>
              <w:jc w:val="center"/>
              <w:rPr>
                <w:rFonts w:hint="eastAsia" w:ascii="仿宋_GB2312" w:hAnsi="仿宋_GB2312" w:eastAsia="仿宋_GB2312" w:cs="仿宋_GB2312"/>
                <w:kern w:val="0"/>
                <w:sz w:val="28"/>
                <w:szCs w:val="28"/>
                <w:lang w:val="zh-TW" w:eastAsia="zh-TW" w:bidi="zh-TW"/>
              </w:rPr>
            </w:pPr>
            <w:r>
              <w:rPr>
                <w:rFonts w:hint="eastAsia" w:ascii="仿宋_GB2312" w:hAnsi="仿宋_GB2312" w:eastAsia="仿宋_GB2312" w:cs="仿宋_GB2312"/>
                <w:kern w:val="0"/>
                <w:sz w:val="28"/>
                <w:szCs w:val="28"/>
                <w:lang w:val="zh-TW" w:eastAsia="zh-TW" w:bidi="zh-TW"/>
              </w:rPr>
              <w:t>遮盖力</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1726-1979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53" w:type="dxa"/>
            <w:vAlign w:val="center"/>
          </w:tcPr>
          <w:p>
            <w:pPr>
              <w:jc w:val="center"/>
              <w:rPr>
                <w:rFonts w:hint="eastAsia" w:ascii="仿宋_GB2312" w:hAnsi="仿宋_GB2312" w:eastAsia="仿宋_GB2312" w:cs="仿宋_GB2312"/>
                <w:kern w:val="0"/>
                <w:sz w:val="28"/>
                <w:szCs w:val="28"/>
                <w:lang w:val="zh-TW" w:eastAsia="zh-TW" w:bidi="zh-TW"/>
              </w:rPr>
            </w:pPr>
            <w:r>
              <w:rPr>
                <w:rFonts w:hint="eastAsia" w:ascii="仿宋_GB2312" w:hAnsi="仿宋_GB2312" w:eastAsia="仿宋_GB2312" w:cs="仿宋_GB2312"/>
                <w:kern w:val="0"/>
                <w:sz w:val="28"/>
                <w:szCs w:val="28"/>
                <w:lang w:val="zh-TW" w:eastAsia="zh-TW" w:bidi="zh-TW"/>
              </w:rPr>
              <w:t>不挥发物含量</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1725-2007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453" w:type="dxa"/>
            <w:vAlign w:val="center"/>
          </w:tcPr>
          <w:p>
            <w:pPr>
              <w:jc w:val="center"/>
              <w:rPr>
                <w:rFonts w:hint="eastAsia" w:ascii="仿宋_GB2312" w:hAnsi="仿宋_GB2312" w:eastAsia="仿宋_GB2312" w:cs="仿宋_GB2312"/>
                <w:kern w:val="0"/>
                <w:sz w:val="28"/>
                <w:szCs w:val="28"/>
                <w:lang w:val="zh-TW" w:eastAsia="zh-TW" w:bidi="zh-TW"/>
              </w:rPr>
            </w:pPr>
            <w:r>
              <w:rPr>
                <w:rFonts w:hint="eastAsia" w:ascii="仿宋_GB2312" w:hAnsi="仿宋_GB2312" w:eastAsia="仿宋_GB2312" w:cs="仿宋_GB2312"/>
                <w:kern w:val="0"/>
                <w:sz w:val="28"/>
                <w:szCs w:val="28"/>
                <w:lang w:val="zh-TW" w:eastAsia="zh-TW" w:bidi="zh-TW"/>
              </w:rPr>
              <w:t>干燥时间</w:t>
            </w:r>
          </w:p>
        </w:tc>
        <w:tc>
          <w:tcPr>
            <w:tcW w:w="2992" w:type="dxa"/>
            <w:vAlign w:val="center"/>
          </w:tcPr>
          <w:p>
            <w:pPr>
              <w:pStyle w:val="5"/>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1728-1979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453" w:type="dxa"/>
            <w:vAlign w:val="center"/>
          </w:tcPr>
          <w:p>
            <w:pPr>
              <w:jc w:val="center"/>
              <w:rPr>
                <w:rFonts w:hint="eastAsia" w:ascii="仿宋_GB2312" w:hAnsi="仿宋_GB2312" w:eastAsia="仿宋_GB2312" w:cs="仿宋_GB2312"/>
                <w:kern w:val="0"/>
                <w:sz w:val="28"/>
                <w:szCs w:val="28"/>
                <w:lang w:val="zh-TW" w:eastAsia="zh-TW" w:bidi="zh-TW"/>
              </w:rPr>
            </w:pPr>
            <w:r>
              <w:rPr>
                <w:rFonts w:hint="eastAsia" w:ascii="仿宋_GB2312" w:hAnsi="仿宋_GB2312" w:eastAsia="仿宋_GB2312" w:cs="仿宋_GB2312"/>
                <w:kern w:val="0"/>
                <w:sz w:val="28"/>
                <w:szCs w:val="28"/>
                <w:lang w:val="zh-TW" w:eastAsia="zh-TW" w:bidi="zh-TW"/>
              </w:rPr>
              <w:t>硬度</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1730-2007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453" w:type="dxa"/>
            <w:vAlign w:val="center"/>
          </w:tcPr>
          <w:p>
            <w:pPr>
              <w:jc w:val="center"/>
              <w:rPr>
                <w:rFonts w:hint="eastAsia" w:ascii="仿宋_GB2312" w:hAnsi="仿宋_GB2312" w:eastAsia="仿宋_GB2312" w:cs="仿宋_GB2312"/>
                <w:kern w:val="0"/>
                <w:sz w:val="28"/>
                <w:szCs w:val="28"/>
                <w:lang w:val="zh-TW" w:bidi="zh-TW"/>
              </w:rPr>
            </w:pPr>
            <w:r>
              <w:rPr>
                <w:rFonts w:hint="eastAsia" w:ascii="仿宋_GB2312" w:hAnsi="仿宋_GB2312" w:eastAsia="仿宋_GB2312" w:cs="仿宋_GB2312"/>
                <w:kern w:val="0"/>
                <w:sz w:val="28"/>
                <w:szCs w:val="28"/>
                <w:lang w:val="zh-TW" w:bidi="zh-TW"/>
              </w:rPr>
              <w:t>弯曲试验</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6742-2007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453" w:type="dxa"/>
            <w:vAlign w:val="center"/>
          </w:tcPr>
          <w:p>
            <w:pPr>
              <w:jc w:val="center"/>
              <w:rPr>
                <w:rFonts w:hint="eastAsia" w:ascii="仿宋_GB2312" w:hAnsi="仿宋_GB2312" w:eastAsia="仿宋_GB2312" w:cs="仿宋_GB2312"/>
                <w:kern w:val="0"/>
                <w:sz w:val="28"/>
                <w:szCs w:val="28"/>
                <w:lang w:val="zh-TW" w:bidi="zh-TW"/>
              </w:rPr>
            </w:pPr>
            <w:r>
              <w:rPr>
                <w:rFonts w:hint="eastAsia" w:ascii="仿宋_GB2312" w:hAnsi="仿宋_GB2312" w:eastAsia="仿宋_GB2312" w:cs="仿宋_GB2312"/>
                <w:kern w:val="0"/>
                <w:sz w:val="28"/>
                <w:szCs w:val="28"/>
                <w:lang w:val="zh-TW" w:bidi="zh-TW"/>
              </w:rPr>
              <w:t>回粘性</w:t>
            </w:r>
          </w:p>
        </w:tc>
        <w:tc>
          <w:tcPr>
            <w:tcW w:w="2992" w:type="dxa"/>
            <w:vAlign w:val="center"/>
          </w:tcPr>
          <w:p>
            <w:pPr>
              <w:pStyle w:val="5"/>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GB/T </w:t>
            </w:r>
            <w:r>
              <w:rPr>
                <w:rFonts w:hint="eastAsia" w:ascii="仿宋_GB2312" w:hAnsi="仿宋_GB2312" w:eastAsia="仿宋_GB2312" w:cs="仿宋_GB2312"/>
                <w:sz w:val="28"/>
                <w:szCs w:val="28"/>
                <w:lang w:eastAsia="zh-CN"/>
              </w:rPr>
              <w:t>1762-1980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453" w:type="dxa"/>
            <w:vAlign w:val="center"/>
          </w:tcPr>
          <w:p>
            <w:pPr>
              <w:jc w:val="center"/>
              <w:rPr>
                <w:rFonts w:hint="eastAsia" w:ascii="仿宋_GB2312" w:hAnsi="仿宋_GB2312" w:eastAsia="仿宋_GB2312" w:cs="仿宋_GB2312"/>
                <w:kern w:val="0"/>
                <w:sz w:val="28"/>
                <w:szCs w:val="28"/>
                <w:lang w:val="zh-TW" w:bidi="zh-TW"/>
              </w:rPr>
            </w:pPr>
            <w:r>
              <w:rPr>
                <w:rFonts w:hint="eastAsia" w:ascii="仿宋_GB2312" w:hAnsi="仿宋_GB2312" w:eastAsia="仿宋_GB2312" w:cs="仿宋_GB2312"/>
                <w:kern w:val="0"/>
                <w:sz w:val="28"/>
                <w:szCs w:val="28"/>
                <w:lang w:val="zh-TW" w:bidi="zh-TW"/>
              </w:rPr>
              <w:t>耐水性</w:t>
            </w:r>
          </w:p>
        </w:tc>
        <w:tc>
          <w:tcPr>
            <w:tcW w:w="2992" w:type="dxa"/>
            <w:vAlign w:val="center"/>
          </w:tcPr>
          <w:p>
            <w:pPr>
              <w:pStyle w:val="5"/>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1733-1993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453" w:type="dxa"/>
            <w:vAlign w:val="center"/>
          </w:tcPr>
          <w:p>
            <w:pPr>
              <w:jc w:val="center"/>
              <w:rPr>
                <w:rFonts w:hint="eastAsia" w:ascii="仿宋_GB2312" w:hAnsi="仿宋_GB2312" w:eastAsia="仿宋_GB2312" w:cs="仿宋_GB2312"/>
                <w:kern w:val="0"/>
                <w:sz w:val="28"/>
                <w:szCs w:val="28"/>
                <w:lang w:val="zh-TW" w:bidi="zh-TW"/>
              </w:rPr>
            </w:pPr>
            <w:r>
              <w:rPr>
                <w:rFonts w:hint="eastAsia" w:ascii="仿宋_GB2312" w:hAnsi="仿宋_GB2312" w:eastAsia="仿宋_GB2312" w:cs="仿宋_GB2312"/>
                <w:kern w:val="0"/>
                <w:sz w:val="28"/>
                <w:szCs w:val="28"/>
                <w:lang w:val="zh-TW" w:bidi="zh-TW"/>
              </w:rPr>
              <w:t>耐挥发油性</w:t>
            </w:r>
          </w:p>
        </w:tc>
        <w:tc>
          <w:tcPr>
            <w:tcW w:w="2992" w:type="dxa"/>
            <w:vAlign w:val="center"/>
          </w:tcPr>
          <w:p>
            <w:pPr>
              <w:pStyle w:val="5"/>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GB/T</w:t>
            </w:r>
            <w:r>
              <w:rPr>
                <w:rFonts w:hint="eastAsia" w:ascii="仿宋_GB2312" w:hAnsi="仿宋_GB2312" w:eastAsia="仿宋_GB2312" w:cs="仿宋_GB2312"/>
                <w:sz w:val="28"/>
                <w:szCs w:val="28"/>
                <w:lang w:eastAsia="zh-CN"/>
              </w:rPr>
              <w:t xml:space="preserve"> 9274-1998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453"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挥发性有机化合物（VOC）</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453"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苯</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4453"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甲苯和二甲苯总和</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4453" w:type="dxa"/>
            <w:vAlign w:val="center"/>
          </w:tcPr>
          <w:p>
            <w:pPr>
              <w:pStyle w:val="5"/>
              <w:spacing w:line="24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重金属（铅、镉、铬、汞）</w:t>
            </w:r>
          </w:p>
        </w:tc>
        <w:tc>
          <w:tcPr>
            <w:tcW w:w="2992" w:type="dxa"/>
            <w:vAlign w:val="center"/>
          </w:tcPr>
          <w:p>
            <w:pPr>
              <w:pStyle w:val="5"/>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18581-2009</w:t>
            </w:r>
          </w:p>
        </w:tc>
      </w:tr>
    </w:tbl>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snapToGrid w:val="0"/>
        <w:spacing w:line="360" w:lineRule="auto"/>
        <w:rPr>
          <w:rFonts w:hint="eastAsia" w:ascii="仿宋_GB2312" w:hAnsi="仿宋_GB2312" w:eastAsia="仿宋_GB2312" w:cs="仿宋_GB2312"/>
          <w:color w:val="000000"/>
          <w:sz w:val="32"/>
          <w:szCs w:val="32"/>
          <w:shd w:val="clear" w:color="auto" w:fill="FFFFFF"/>
        </w:rPr>
      </w:pPr>
    </w:p>
    <w:p>
      <w:pPr>
        <w:snapToGrid w:val="0"/>
        <w:spacing w:line="360" w:lineRule="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snapToGrid w:val="0"/>
        <w:spacing w:line="360" w:lineRule="auto"/>
        <w:rPr>
          <w:rFonts w:hint="default"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3.1依据标准</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25251-2010醇酸树脂涂料</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18581-2009 室内装饰装修材料 溶剂型木器涂料中有害物质限量</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HG/T 2454-2014 溶剂型聚氨酯涂料（双组分）</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6"/>
        <w:framePr w:wrap="auto" w:vAnchor="margin" w:hAnchor="text" w:yAlign="inline"/>
        <w:spacing w:before="0" w:line="360" w:lineRule="auto"/>
        <w:rPr>
          <w:rFonts w:hint="eastAsia" w:ascii="仿宋_GB2312" w:hAnsi="仿宋_GB2312" w:eastAsia="仿宋_GB2312" w:cs="仿宋_GB2312"/>
          <w:b/>
          <w:kern w:val="2"/>
          <w:sz w:val="32"/>
          <w:szCs w:val="32"/>
          <w:lang w:val="en-US" w:eastAsia="zh-CN"/>
        </w:rPr>
      </w:pPr>
      <w:r>
        <w:rPr>
          <w:rFonts w:hint="eastAsia" w:ascii="仿宋_GB2312" w:hAnsi="仿宋_GB2312" w:eastAsia="仿宋_GB2312" w:cs="仿宋_GB2312"/>
          <w:b/>
          <w:kern w:val="2"/>
          <w:sz w:val="32"/>
          <w:szCs w:val="32"/>
          <w:lang w:val="en-US" w:eastAsia="zh-CN"/>
        </w:rPr>
        <w:t>3.2判定原则</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GB/T 25251-2010</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 xml:space="preserve">GB 18581-2009 </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HG/T 2454-2014 </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w:t>
      </w:r>
      <w:r>
        <w:rPr>
          <w:rFonts w:hint="eastAsia" w:ascii="仿宋_GB2312" w:hAnsi="仿宋_GB2312" w:eastAsia="仿宋_GB2312" w:cs="仿宋_GB2312"/>
          <w:color w:val="000000"/>
          <w:sz w:val="32"/>
          <w:szCs w:val="32"/>
          <w:shd w:val="clear" w:color="auto" w:fill="FFFFFF"/>
          <w:lang w:eastAsia="zh-CN"/>
        </w:rPr>
        <w:t>且检验项目一致时，</w:t>
      </w:r>
      <w:r>
        <w:rPr>
          <w:rFonts w:hint="eastAsia" w:ascii="仿宋_GB2312" w:hAnsi="仿宋_GB2312" w:eastAsia="仿宋_GB2312" w:cs="仿宋_GB2312"/>
          <w:color w:val="000000"/>
          <w:sz w:val="32"/>
          <w:szCs w:val="32"/>
          <w:shd w:val="clear" w:color="auto" w:fill="FFFFFF"/>
        </w:rPr>
        <w:t>应按被检产品明示的质量要求判定。</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若被检产品明示的质量要求缺少本细则中检验项目</w:t>
      </w:r>
      <w:r>
        <w:rPr>
          <w:rFonts w:hint="eastAsia" w:ascii="仿宋_GB2312" w:hAnsi="仿宋_GB2312" w:eastAsia="仿宋_GB2312" w:cs="仿宋_GB2312"/>
          <w:color w:val="000000"/>
          <w:sz w:val="32"/>
          <w:szCs w:val="32"/>
          <w:shd w:val="clear" w:color="auto" w:fill="FFFFFF"/>
          <w:lang w:eastAsia="zh-CN"/>
        </w:rPr>
        <w:t>时</w:t>
      </w:r>
      <w:r>
        <w:rPr>
          <w:rFonts w:hint="eastAsia" w:ascii="仿宋_GB2312" w:hAnsi="仿宋_GB2312" w:eastAsia="仿宋_GB2312" w:cs="仿宋_GB2312"/>
          <w:color w:val="000000"/>
          <w:sz w:val="32"/>
          <w:szCs w:val="32"/>
          <w:shd w:val="clear" w:color="auto" w:fill="FFFFFF"/>
        </w:rPr>
        <w:t>，应按</w:t>
      </w:r>
      <w:r>
        <w:rPr>
          <w:rFonts w:hint="eastAsia" w:ascii="仿宋_GB2312" w:hAnsi="仿宋_GB2312" w:eastAsia="仿宋_GB2312" w:cs="仿宋_GB2312"/>
          <w:color w:val="000000"/>
          <w:sz w:val="32"/>
          <w:szCs w:val="32"/>
          <w:shd w:val="clear" w:color="auto" w:fill="FFFFFF"/>
          <w:lang w:eastAsia="zh-CN"/>
        </w:rPr>
        <w:t>本细则中检验项目依据的标准要求进行检验并判定。</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13BC"/>
    <w:rsid w:val="02303DAF"/>
    <w:rsid w:val="04A66001"/>
    <w:rsid w:val="106F4AF1"/>
    <w:rsid w:val="16612A53"/>
    <w:rsid w:val="2D652B30"/>
    <w:rsid w:val="349513BC"/>
    <w:rsid w:val="5E517064"/>
    <w:rsid w:val="6DF225DB"/>
    <w:rsid w:val="77E9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Other|1"/>
    <w:basedOn w:val="1"/>
    <w:qFormat/>
    <w:uiPriority w:val="0"/>
    <w:pPr>
      <w:spacing w:line="350" w:lineRule="auto"/>
      <w:jc w:val="left"/>
    </w:pPr>
    <w:rPr>
      <w:rFonts w:ascii="宋体" w:hAnsi="宋体" w:cs="宋体"/>
      <w:kern w:val="0"/>
      <w:sz w:val="19"/>
      <w:szCs w:val="19"/>
      <w:lang w:val="zh-TW" w:eastAsia="zh-TW" w:bidi="zh-TW"/>
    </w:rPr>
  </w:style>
  <w:style w:type="paragraph" w:customStyle="1" w:styleId="6">
    <w:name w:val="默认"/>
    <w:qFormat/>
    <w:uiPriority w:val="0"/>
    <w:pPr>
      <w:framePr w:wrap="around" w:vAnchor="margin" w:hAnchor="text" w:y="1"/>
      <w:spacing w:before="160"/>
    </w:pPr>
    <w:rPr>
      <w:rFonts w:hint="eastAsia" w:ascii="Arial Unicode MS" w:hAnsi="Arial Unicode MS" w:eastAsia="Arial Unicode MS" w:cs="Arial Unicode MS"/>
      <w:color w:val="000000"/>
      <w:sz w:val="24"/>
      <w:szCs w:val="24"/>
      <w:u w:val="none"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2020-08-13T08:45:00Z</dcterms:created>
  <dc:creator>徐立君</dc:creator>
  <cp:lastModifiedBy>王鑫</cp:lastModifiedBy>
  <dcterms:modified xsi:type="dcterms:W3CDTF">2021-03-15T01:40:58Z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