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黑龙江省浸渍纸层压木质地板产品质量省级监督抽查实施细则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w w:val="9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p>
    <w:p>
      <w:pPr>
        <w:pStyle w:val="2"/>
        <w:widowControl/>
        <w:shd w:val="clear" w:color="auto" w:fill="FFFFFF"/>
        <w:spacing w:beforeAutospacing="0" w:afterAutospacing="0"/>
        <w:ind w:right="45"/>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随机数一般可使用随机数表、骰子或扑克牌等方法产生。</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每批次产品抽取样品2包,其中1包检验样品,1包作为备用样品,每包不少于1.5平方米。</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如在市场抽样时，</w:t>
      </w:r>
      <w:r>
        <w:rPr>
          <w:rFonts w:hint="eastAsia" w:ascii="仿宋" w:hAnsi="仿宋" w:eastAsia="仿宋" w:cs="仿宋"/>
          <w:color w:val="000000"/>
          <w:sz w:val="32"/>
          <w:szCs w:val="32"/>
          <w:shd w:val="clear" w:color="auto" w:fill="FFFFFF"/>
        </w:rPr>
        <w:t>抽样基数满足抽样数量即可。</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p>
    <w:p>
      <w:pPr>
        <w:pStyle w:val="2"/>
        <w:widowControl/>
        <w:shd w:val="clear" w:color="auto" w:fill="FFFFFF"/>
        <w:spacing w:beforeAutospacing="0" w:afterAutospacing="0"/>
        <w:ind w:right="45"/>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 检验依据</w:t>
      </w:r>
    </w:p>
    <w:p>
      <w:pPr>
        <w:pStyle w:val="2"/>
        <w:widowControl/>
        <w:shd w:val="clear" w:color="auto" w:fill="FFFFFF"/>
        <w:spacing w:beforeAutospacing="0" w:afterAutospacing="0"/>
        <w:ind w:right="45"/>
        <w:rPr>
          <w:rFonts w:hint="eastAsia" w:ascii="仿宋" w:hAnsi="仿宋" w:eastAsia="仿宋" w:cs="仿宋"/>
          <w:b/>
          <w:bCs/>
          <w:color w:val="000000"/>
          <w:sz w:val="32"/>
          <w:szCs w:val="32"/>
          <w:shd w:val="clear" w:color="auto" w:fill="FFFFFF"/>
        </w:rPr>
      </w:pPr>
    </w:p>
    <w:tbl>
      <w:tblPr>
        <w:tblStyle w:val="4"/>
        <w:tblW w:w="8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268" w:type="dxa"/>
            <w:vAlign w:val="center"/>
          </w:tcPr>
          <w:p>
            <w:pPr>
              <w:pStyle w:val="5"/>
              <w:spacing w:line="400" w:lineRule="exact"/>
              <w:jc w:val="center"/>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检验项目</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规格尺寸及偏差</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2</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外观质量</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3</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含水率</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4</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密度</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5</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吸水厚度膨胀率</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6</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表面耐冷热循环</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7</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尺寸稳定性</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8</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表面耐香烟灼烧</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9</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表面耐干热</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10</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表面耐污染腐蚀</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11</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表面耐龟裂</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12</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甲醛释放量</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35"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13</w:t>
            </w:r>
          </w:p>
        </w:tc>
        <w:tc>
          <w:tcPr>
            <w:tcW w:w="2268"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表面耐磨性能</w:t>
            </w:r>
          </w:p>
        </w:tc>
        <w:tc>
          <w:tcPr>
            <w:tcW w:w="5267" w:type="dxa"/>
            <w:vAlign w:val="center"/>
          </w:tcPr>
          <w:p>
            <w:pPr>
              <w:adjustRightInd w:val="0"/>
              <w:snapToGrid w:val="0"/>
              <w:spacing w:line="24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GB/T 18102-2007 6.3.11</w:t>
            </w:r>
          </w:p>
        </w:tc>
      </w:tr>
    </w:tbl>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rPr>
      </w:pPr>
    </w:p>
    <w:p>
      <w:pPr>
        <w:pStyle w:val="2"/>
        <w:widowControl/>
        <w:shd w:val="clear" w:color="auto" w:fill="FFFFFF"/>
        <w:spacing w:beforeAutospacing="0" w:afterAutospacing="0"/>
        <w:ind w:right="45"/>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 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GB/T 18102-2007</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浸渍纸层压木质地板</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 判定原则</w:t>
      </w:r>
    </w:p>
    <w:p>
      <w:pPr>
        <w:pStyle w:val="2"/>
        <w:widowControl/>
        <w:shd w:val="clear" w:color="auto" w:fill="FFFFFF"/>
        <w:spacing w:beforeAutospacing="0" w:afterAutospacing="0"/>
        <w:ind w:right="45" w:firstLine="640" w:firstLineChars="200"/>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根据</w:t>
      </w:r>
      <w:r>
        <w:rPr>
          <w:rFonts w:hint="eastAsia" w:ascii="仿宋" w:hAnsi="仿宋" w:eastAsia="仿宋" w:cs="仿宋"/>
          <w:color w:val="000000"/>
          <w:sz w:val="32"/>
          <w:szCs w:val="32"/>
          <w:shd w:val="clear" w:color="auto" w:fill="FFFFFF"/>
        </w:rPr>
        <w:t>GB/T 18102-2007</w:t>
      </w:r>
      <w:r>
        <w:rPr>
          <w:rFonts w:hint="eastAsia" w:ascii="仿宋" w:hAnsi="仿宋" w:eastAsia="仿宋" w:cs="仿宋"/>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被检产品明示的质量要求高于本细则中检验项目依据的标准要求时，应按被检产品明示的质量要求判定。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被检产品明示的质量要求低于本细则中检验项目依据的强制性标准要求时，应按照强制性标准要求判定。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若</w:t>
      </w:r>
      <w:r>
        <w:rPr>
          <w:rFonts w:hint="eastAsia" w:ascii="仿宋_GB2312" w:hAnsi="仿宋_GB2312" w:eastAsia="仿宋_GB2312" w:cs="仿宋_GB2312"/>
          <w:i w:val="0"/>
          <w:caps w:val="0"/>
          <w:color w:val="000000"/>
          <w:spacing w:val="0"/>
          <w:sz w:val="32"/>
          <w:szCs w:val="32"/>
          <w:shd w:val="clear" w:color="auto" w:fill="FFFFFF"/>
        </w:rPr>
        <w:t>被检产品明示的质量要求低于或包含本细则中检验项目依据的推荐性标准要求时，应以被检产品明示的质量要求判定。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pPr>
        <w:pStyle w:val="2"/>
        <w:widowControl/>
        <w:numPr>
          <w:ilvl w:val="0"/>
          <w:numId w:val="0"/>
        </w:numPr>
        <w:shd w:val="clear" w:color="auto" w:fill="FFFFFF"/>
        <w:spacing w:beforeAutospacing="0" w:afterAutospacing="0"/>
        <w:ind w:right="45" w:rightChars="0"/>
        <w:jc w:val="left"/>
        <w:rPr>
          <w:rFonts w:hint="eastAsia" w:ascii="仿宋_GB2312" w:hAnsi="仿宋_GB2312" w:eastAsia="仿宋_GB2312" w:cs="仿宋_GB2312"/>
          <w:color w:val="000000"/>
          <w:sz w:val="32"/>
          <w:szCs w:val="32"/>
          <w:shd w:val="clear" w:color="auto"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D3324"/>
    <w:rsid w:val="117D3F1F"/>
    <w:rsid w:val="126D3324"/>
    <w:rsid w:val="15767DC8"/>
    <w:rsid w:val="41251CF5"/>
    <w:rsid w:val="5502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msonormalcxspmiddle"/>
    <w:basedOn w:val="1"/>
    <w:qFormat/>
    <w:uiPriority w:val="99"/>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2020-08-13T08:43:00Z</dcterms:created>
  <dc:creator>徐立君</dc:creator>
  <cp:lastModifiedBy>王鑫</cp:lastModifiedBy>
  <dcterms:modified xsi:type="dcterms:W3CDTF">2021-03-15T01:40:00Z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