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cs="黑体" w:asciiTheme="minorEastAsia" w:hAnsiTheme="minorEastAsia"/>
          <w:b/>
          <w:w w:val="90"/>
          <w:sz w:val="32"/>
          <w:szCs w:val="32"/>
          <w:lang w:val="en-US" w:eastAsia="zh-CN"/>
        </w:rPr>
        <w:t>黑龙江省</w:t>
      </w:r>
      <w:r>
        <w:rPr>
          <w:rFonts w:hint="eastAsia" w:asciiTheme="majorEastAsia" w:hAnsiTheme="majorEastAsia" w:eastAsiaTheme="majorEastAsia" w:cstheme="majorEastAsia"/>
          <w:b/>
          <w:bCs w:val="0"/>
          <w:color w:val="333333"/>
          <w:w w:val="90"/>
          <w:sz w:val="32"/>
          <w:szCs w:val="32"/>
          <w:shd w:val="clear" w:color="auto" w:fill="FFFFFF"/>
          <w:lang w:val="en-US" w:eastAsia="zh-CN"/>
        </w:rPr>
        <w:t>机动车</w:t>
      </w:r>
      <w:r>
        <w:rPr>
          <w:rFonts w:hint="eastAsia" w:cs="黑体" w:asciiTheme="minorEastAsia" w:hAnsiTheme="minorEastAsia"/>
          <w:b/>
          <w:w w:val="90"/>
          <w:sz w:val="32"/>
          <w:szCs w:val="32"/>
          <w:lang w:val="en-US" w:eastAsia="zh-CN"/>
        </w:rPr>
        <w:t>发动机冷却液产品质量省级监督抽查实施细则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left"/>
        <w:rPr>
          <w:rFonts w:hint="eastAsia" w:cs="黑体" w:asciiTheme="minorEastAsia" w:hAnsiTheme="minorEastAsia"/>
          <w:b/>
          <w:w w:val="90"/>
          <w:sz w:val="32"/>
          <w:szCs w:val="32"/>
          <w:lang w:val="en-US" w:eastAsia="zh-CN"/>
        </w:rPr>
      </w:pPr>
      <w:bookmarkStart w:id="0" w:name="_GoBack"/>
      <w:bookmarkEnd w:id="0"/>
    </w:p>
    <w:p>
      <w:pPr>
        <w:jc w:val="both"/>
        <w:rPr>
          <w:rFonts w:hint="eastAsia" w:cs="黑体" w:asciiTheme="minorEastAsia" w:hAnsiTheme="minorEastAsia"/>
          <w:b/>
          <w:sz w:val="32"/>
          <w:szCs w:val="32"/>
          <w:lang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eastAsia="zh-CN"/>
        </w:rPr>
        <w:t>1 抽样方法</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在企业的成品库、成品罐内中随机抽取有产品质量检验合格证明或者以其他形式表明合格的、近期生产的产品。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随机数一般可使用随机数表、骰子或扑克牌等方法产生。</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每批次产品抽取样品不少于2个独立包装、总量不小于7kg的样品，其中1/2作为检验样品，1/2作为备用样品。</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eastAsia="zh-CN"/>
        </w:rPr>
        <w:t>2 检验依据</w:t>
      </w: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p>
    <w:tbl>
      <w:tblPr>
        <w:tblStyle w:val="4"/>
        <w:tblW w:w="8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92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8"/>
                <w:szCs w:val="28"/>
              </w:rPr>
            </w:pPr>
            <w:r>
              <w:rPr>
                <w:rFonts w:hint="eastAsia" w:ascii="仿宋" w:hAnsi="仿宋" w:eastAsia="仿宋" w:cs="宋体"/>
                <w:sz w:val="28"/>
                <w:szCs w:val="28"/>
              </w:rPr>
              <w:t>序号</w:t>
            </w:r>
          </w:p>
        </w:tc>
        <w:tc>
          <w:tcPr>
            <w:tcW w:w="39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8"/>
                <w:szCs w:val="28"/>
              </w:rPr>
            </w:pPr>
            <w:r>
              <w:rPr>
                <w:rFonts w:hint="eastAsia" w:ascii="仿宋" w:hAnsi="仿宋" w:eastAsia="仿宋" w:cs="宋体"/>
                <w:sz w:val="28"/>
                <w:szCs w:val="28"/>
              </w:rPr>
              <w:t>检验项目</w:t>
            </w:r>
          </w:p>
        </w:tc>
        <w:tc>
          <w:tcPr>
            <w:tcW w:w="3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8"/>
                <w:szCs w:val="28"/>
              </w:rPr>
            </w:pPr>
            <w:r>
              <w:rPr>
                <w:rFonts w:hint="eastAsia" w:ascii="仿宋" w:hAnsi="仿宋" w:eastAsia="仿宋" w:cs="宋体"/>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1</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冰点</w:t>
            </w:r>
          </w:p>
        </w:tc>
        <w:tc>
          <w:tcPr>
            <w:tcW w:w="30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SH/T 0090-1991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2</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沸点</w:t>
            </w:r>
          </w:p>
        </w:tc>
        <w:tc>
          <w:tcPr>
            <w:tcW w:w="30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sz w:val="28"/>
                <w:szCs w:val="28"/>
              </w:rPr>
            </w:pPr>
            <w:r>
              <w:rPr>
                <w:rFonts w:hint="eastAsia" w:ascii="仿宋" w:hAnsi="仿宋" w:eastAsia="仿宋" w:cs="宋体"/>
                <w:sz w:val="28"/>
                <w:szCs w:val="28"/>
              </w:rPr>
              <w:t>SH/T 0089-1991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8"/>
                <w:szCs w:val="28"/>
                <w:lang w:eastAsia="zh-CN"/>
              </w:rPr>
            </w:pPr>
            <w:r>
              <w:rPr>
                <w:rFonts w:hint="eastAsia" w:ascii="仿宋" w:hAnsi="仿宋" w:eastAsia="仿宋"/>
                <w:sz w:val="28"/>
                <w:szCs w:val="28"/>
              </w:rPr>
              <w:t>pH</w:t>
            </w:r>
            <w:r>
              <w:rPr>
                <w:rFonts w:hint="eastAsia" w:ascii="仿宋" w:hAnsi="仿宋" w:eastAsia="仿宋"/>
                <w:sz w:val="28"/>
                <w:szCs w:val="28"/>
                <w:lang w:eastAsia="zh-CN"/>
              </w:rPr>
              <w:t>值</w:t>
            </w:r>
          </w:p>
        </w:tc>
        <w:tc>
          <w:tcPr>
            <w:tcW w:w="30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sz w:val="28"/>
                <w:szCs w:val="28"/>
              </w:rPr>
            </w:pPr>
            <w:r>
              <w:rPr>
                <w:rFonts w:hint="eastAsia" w:ascii="仿宋" w:hAnsi="仿宋" w:eastAsia="仿宋" w:cs="宋体"/>
                <w:sz w:val="28"/>
                <w:szCs w:val="28"/>
              </w:rPr>
              <w:t>SH/T 0069-1991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4</w:t>
            </w:r>
          </w:p>
        </w:tc>
        <w:tc>
          <w:tcPr>
            <w:tcW w:w="39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ascii="仿宋" w:hAnsi="仿宋" w:eastAsia="仿宋"/>
                <w:sz w:val="28"/>
                <w:szCs w:val="28"/>
              </w:rPr>
              <w:t>玻璃器皿腐蚀</w:t>
            </w:r>
          </w:p>
        </w:tc>
        <w:tc>
          <w:tcPr>
            <w:tcW w:w="306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sz w:val="28"/>
                <w:szCs w:val="28"/>
              </w:rPr>
            </w:pPr>
            <w:r>
              <w:rPr>
                <w:rFonts w:hint="eastAsia" w:ascii="仿宋" w:hAnsi="仿宋" w:eastAsia="仿宋" w:cs="宋体"/>
                <w:sz w:val="28"/>
                <w:szCs w:val="28"/>
              </w:rPr>
              <w:t>SH/T 0085-1991</w:t>
            </w:r>
          </w:p>
        </w:tc>
      </w:tr>
    </w:tbl>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执行企业标准、团体标准、地方标准的产品，检验项目参照上述内容执行。</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凡是注日期的文件，其随后所有的修改单（不包括勘误的内容）或修订版不适用于本细则。凡是不注日期的文件，其最新版本适用于本细则。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p>
    <w:p>
      <w:pPr>
        <w:pStyle w:val="2"/>
        <w:widowControl/>
        <w:shd w:val="clear" w:color="auto" w:fill="FFFFFF"/>
        <w:spacing w:beforeAutospacing="0" w:afterAutospacing="0"/>
        <w:ind w:right="45"/>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lang w:eastAsia="zh-CN"/>
        </w:rPr>
        <w:t>3 判定规则</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3.1 依据标准</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GB 29743-2013 机动车发动机冷却液</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现行有效的企业标准、团体标准、地方标准及产品明示质量要求。</w:t>
      </w:r>
    </w:p>
    <w:p>
      <w:pPr>
        <w:pStyle w:val="2"/>
        <w:widowControl/>
        <w:shd w:val="clear" w:color="auto" w:fill="FFFFFF"/>
        <w:spacing w:beforeAutospacing="0" w:afterAutospacing="0"/>
        <w:ind w:right="45"/>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3.2 判定原则</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根据GB 29743-2013 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若被检产品明示的质量要求高于本细则中检验项目依据的标准要求时，应按被检产品明示的质量要求判定。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若被检产品明示的质量要求低于本细则中检验项目依据的强制性标准要求时，应按照强制性标准要求判定。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若被检产品明示的质量要求低于或包含本细则中检验项目依据的推荐性标准要求时，应以被检产品明示的质量要求判定。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pPr>
      <w:r>
        <w:rPr>
          <w:rFonts w:hint="eastAsia" w:ascii="仿宋_GB2312" w:hAnsi="仿宋_GB2312" w:eastAsia="仿宋_GB2312" w:cs="仿宋_GB2312"/>
          <w:color w:val="000000"/>
          <w:sz w:val="32"/>
          <w:szCs w:val="32"/>
          <w:shd w:val="clear" w:color="auto" w:fill="FFFFFF"/>
          <w:lang w:eastAsia="zh-CN"/>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F3529"/>
    <w:rsid w:val="12CA4557"/>
    <w:rsid w:val="3A7607F3"/>
    <w:rsid w:val="463533E7"/>
    <w:rsid w:val="5E8B51C7"/>
    <w:rsid w:val="61B47076"/>
    <w:rsid w:val="6CE950C2"/>
    <w:rsid w:val="713F3529"/>
    <w:rsid w:val="7CCB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2020-08-13T08:41:00Z</dcterms:created>
  <dc:creator>徐立君</dc:creator>
  <cp:lastModifiedBy>王鑫</cp:lastModifiedBy>
  <dcterms:modified xsi:type="dcterms:W3CDTF">2021-03-15T01:39:24Z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