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sz w:val="32"/>
          <w:szCs w:val="32"/>
          <w:lang w:eastAsia="zh-CN"/>
        </w:rPr>
        <w:t>黑龙江省</w:t>
      </w:r>
      <w:r>
        <w:rPr>
          <w:rFonts w:hint="eastAsia" w:ascii="黑体" w:hAnsi="黑体" w:eastAsia="黑体" w:cs="黑体"/>
          <w:b w:val="0"/>
          <w:bCs w:val="0"/>
          <w:color w:val="000000"/>
          <w:sz w:val="32"/>
          <w:szCs w:val="32"/>
        </w:rPr>
        <w:t>复合膜袋产品质量</w:t>
      </w:r>
      <w:r>
        <w:rPr>
          <w:rFonts w:hint="eastAsia" w:ascii="黑体" w:hAnsi="黑体" w:eastAsia="黑体" w:cs="黑体"/>
          <w:b w:val="0"/>
          <w:bCs w:val="0"/>
          <w:color w:val="000000"/>
          <w:sz w:val="32"/>
          <w:szCs w:val="32"/>
          <w:lang w:eastAsia="zh-CN"/>
        </w:rPr>
        <w:t>省级</w:t>
      </w:r>
      <w:r>
        <w:rPr>
          <w:rFonts w:hint="eastAsia" w:ascii="黑体" w:hAnsi="黑体" w:eastAsia="黑体" w:cs="黑体"/>
          <w:b w:val="0"/>
          <w:bCs w:val="0"/>
          <w:color w:val="000000"/>
          <w:sz w:val="32"/>
          <w:szCs w:val="32"/>
        </w:rPr>
        <w:t>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color w:val="000000"/>
          <w:sz w:val="32"/>
          <w:szCs w:val="32"/>
        </w:rPr>
      </w:pPr>
      <w:bookmarkStart w:id="0" w:name="_GoBack"/>
      <w:bookmarkEnd w:id="0"/>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膜类产品：每批次产品抽取样品3卷，将每卷膜外层除去2m，每卷膜各抽取2.5m2×2，平均分为2份，其中1份作为检验样品，1份作为备用样品；对于执行标准为GB/T 18706-2008的液体食品保鲜包装用纸基复合材料产品和执行标准为GB/T 19741-2005的液体食品包装用塑料复合膜、袋产品应从每卷膜各抽取2.5m2×3，平均分为3份，其中1份作为其他检验用样品，1份作为微生物检验用样品，1份作为备用样品。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袋类产品：每批次产品抽取从3箱中分别抽取30个×2（袋规格应不小于15cm×15cm），平均分为2份，其中30个×3作为检验样品，30个×3作为备用样品；对于执行标准为GB/T 18706-2008的液体食品保鲜包装用纸基复合材料产品和执行标准为GB/T 19741-2005的液体食品包装用塑料复合膜、袋产品应分别从3箱中抽取30个×3（袋规格应不小于15cm×15cm），平均分为3份，其中30个×3作为其他检验用样品，30个×3作为微生物检验用样品，30个×3作为备用样品。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2</w:t>
      </w:r>
      <w:r>
        <w:rPr>
          <w:rFonts w:hint="eastAsia" w:ascii="仿宋_GB2312" w:hAnsi="仿宋_GB2312" w:eastAsia="仿宋_GB2312" w:cs="仿宋_GB2312"/>
          <w:b/>
          <w:color w:val="000000"/>
          <w:sz w:val="32"/>
          <w:szCs w:val="32"/>
        </w:rPr>
        <w:t>检验依据</w:t>
      </w:r>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b/>
          <w:color w:val="000000"/>
          <w:sz w:val="32"/>
          <w:szCs w:val="32"/>
        </w:rPr>
      </w:pPr>
    </w:p>
    <w:tbl>
      <w:tblPr>
        <w:tblStyle w:val="5"/>
        <w:tblW w:w="8729" w:type="dxa"/>
        <w:jc w:val="center"/>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44"/>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89" w:type="dxa"/>
            <w:vAlign w:val="center"/>
          </w:tcPr>
          <w:p>
            <w:pPr>
              <w:keepNext w:val="0"/>
              <w:keepLines w:val="0"/>
              <w:pageBreakBefore w:val="0"/>
              <w:widowControl w:val="0"/>
              <w:kinsoku/>
              <w:wordWrap/>
              <w:overflowPunct/>
              <w:topLinePunct w:val="0"/>
              <w:autoSpaceDE/>
              <w:autoSpaceDN/>
              <w:bidi w:val="0"/>
              <w:snapToGrid w:val="0"/>
              <w:spacing w:line="0" w:lineRule="atLeast"/>
              <w:jc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444" w:type="dxa"/>
            <w:vAlign w:val="center"/>
          </w:tcPr>
          <w:p>
            <w:pPr>
              <w:keepNext w:val="0"/>
              <w:keepLines w:val="0"/>
              <w:pageBreakBefore w:val="0"/>
              <w:widowControl w:val="0"/>
              <w:kinsoku/>
              <w:wordWrap/>
              <w:overflowPunct/>
              <w:topLinePunct w:val="0"/>
              <w:autoSpaceDE/>
              <w:autoSpaceDN/>
              <w:bidi w:val="0"/>
              <w:snapToGrid w:val="0"/>
              <w:spacing w:line="0" w:lineRule="atLeast"/>
              <w:jc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396" w:type="dxa"/>
            <w:vAlign w:val="center"/>
          </w:tcPr>
          <w:p>
            <w:pPr>
              <w:keepNext w:val="0"/>
              <w:keepLines w:val="0"/>
              <w:pageBreakBefore w:val="0"/>
              <w:widowControl w:val="0"/>
              <w:kinsoku/>
              <w:wordWrap/>
              <w:overflowPunct/>
              <w:topLinePunct w:val="0"/>
              <w:autoSpaceDE/>
              <w:autoSpaceDN/>
              <w:bidi w:val="0"/>
              <w:snapToGrid w:val="0"/>
              <w:spacing w:line="0" w:lineRule="atLeast"/>
              <w:jc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感官指标</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9683-1988</w:t>
            </w:r>
          </w:p>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蒸发残渣/总迁移量</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9683-1988</w:t>
            </w:r>
          </w:p>
          <w:p>
            <w:pPr>
              <w:pStyle w:val="2"/>
              <w:keepNext w:val="0"/>
              <w:keepLines w:val="0"/>
              <w:pageBreakBefore w:val="0"/>
              <w:widowControl w:val="0"/>
              <w:kinsoku/>
              <w:wordWrap/>
              <w:overflowPunct/>
              <w:topLinePunct w:val="0"/>
              <w:autoSpaceDE/>
              <w:autoSpaceDN/>
              <w:bidi w:val="0"/>
              <w:spacing w:line="0" w:lineRule="atLeast"/>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9683-1988</w:t>
            </w:r>
          </w:p>
          <w:p>
            <w:pPr>
              <w:pStyle w:val="2"/>
              <w:keepNext w:val="0"/>
              <w:keepLines w:val="0"/>
              <w:pageBreakBefore w:val="0"/>
              <w:widowControl w:val="0"/>
              <w:kinsoku/>
              <w:wordWrap/>
              <w:overflowPunct/>
              <w:topLinePunct w:val="0"/>
              <w:autoSpaceDE/>
              <w:autoSpaceDN/>
              <w:bidi w:val="0"/>
              <w:spacing w:line="0" w:lineRule="atLeas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5</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溶剂残留量总量</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10004-2008 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6</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苯类溶剂残留量</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10004-2008 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甲苯二胺（4%乙酸）</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8</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邻苯类增塑剂特定迁移量（限PVC材质）</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9</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微生物总数</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10</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致病菌</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4789.4-2016</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4789.5-2012</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4789.10-2016</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11</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阻隔性能（氧气）</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1038-2000</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阻隔性能（水蒸气）</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1037-1988</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21529-2008</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26253-2010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44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热封强度</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（仅对袋类产品）</w:t>
            </w:r>
          </w:p>
        </w:tc>
        <w:tc>
          <w:tcPr>
            <w:tcW w:w="339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2358-1998</w:t>
            </w:r>
          </w:p>
          <w:p>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19741-2005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729" w:type="dxa"/>
            <w:gridSpan w:val="3"/>
            <w:vAlign w:val="center"/>
          </w:tcPr>
          <w:p>
            <w:pPr>
              <w:keepNext w:val="0"/>
              <w:keepLines w:val="0"/>
              <w:pageBreakBefore w:val="0"/>
              <w:widowControl w:val="0"/>
              <w:kinsoku/>
              <w:wordWrap/>
              <w:overflowPunct/>
              <w:topLinePunct w:val="0"/>
              <w:autoSpaceDE/>
              <w:autoSpaceDN/>
              <w:bidi w:val="0"/>
              <w:snapToGrid w:val="0"/>
              <w:spacing w:line="0" w:lineRule="atLeast"/>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注：1.产品执行标准为GB/T 19741-2005时，微生物检验项目选择本表的第9、10项。</w:t>
            </w:r>
          </w:p>
          <w:p>
            <w:pPr>
              <w:keepNext w:val="0"/>
              <w:keepLines w:val="0"/>
              <w:pageBreakBefore w:val="0"/>
              <w:widowControl w:val="0"/>
              <w:kinsoku/>
              <w:wordWrap/>
              <w:overflowPunct/>
              <w:topLinePunct w:val="0"/>
              <w:autoSpaceDE/>
              <w:autoSpaceDN/>
              <w:bidi w:val="0"/>
              <w:snapToGrid w:val="0"/>
              <w:spacing w:line="0" w:lineRule="atLeas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2.感官指标和“蒸发残渣”项目的说明：若产品执行GB 9683-1988时，检验项目为感官指标和蒸发残渣，若不执行GB 9683-1988时，检验项目为感官要求和总迁移量。</w:t>
            </w:r>
          </w:p>
        </w:tc>
      </w:tr>
    </w:tbl>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判定规则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rPr>
        <w:t>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4806.6-2016 食品安全国家标准 食品接触用塑料树脂</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4806.7-2016 食品安全国家标准 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9683-1988 复合食品包装袋卫生标准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9685-2016 食品安全国家标准 食品接触材料及制品用添加剂使用标准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10004-2008  包装用塑料复合膜、袋干法复合、挤出复合</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18192-2008  液体食品无菌包装用纸基复合材料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18454-2019  液体食品无菌包装用复合袋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18706-2008  液体食品保鲜包装用纸基复合材料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19741-2005  液体食品包装用塑料复合膜、袋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21302-2007  包装用复合膜、袋通则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26690-2011  丙烯酸涂布双向拉伸聚丙烯薄膜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26691-2011  改性聚乙烯醇涂布双向拉伸薄膜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28117-2011  食品包装用多层共挤膜、袋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28118-2011  食品包装用塑料与铝箔复合膜、袋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30768-2014  食品包装用纸与塑料复合膜、袋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0012-2014   聚偏二氯乙烯(PVDC)涂布薄膜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0041-2007   包装用多层共挤阻隔膜通则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0052-2017   液态奶共挤包装膜、袋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1871-1993   双向拉伸尼龙（BOPA）/低密度聚乙烯(LDPE)复合膜、袋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2197-1996   榨菜包装用复合膜、袋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2判定原则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GB 4806.6-2016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4806.7-2016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9683-1988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9685-2016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10004-2008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18192-2008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18454-2019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18706-2008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19741-2005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21302-2007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26690-2011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26691-2011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28117-2011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28118-2011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30768-2014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BB/T 0012-2014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BB/T 0041-2007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BB/T 0052-2017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QB/T 1871-1993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QB/T 2197-1996 </w:t>
      </w:r>
      <w:r>
        <w:rPr>
          <w:rFonts w:hint="eastAsia" w:ascii="仿宋_GB2312" w:hAnsi="仿宋_GB2312" w:eastAsia="仿宋_GB2312" w:cs="仿宋_GB2312"/>
          <w:color w:val="000000"/>
          <w:sz w:val="32"/>
          <w:szCs w:val="32"/>
          <w:lang w:eastAsia="zh-CN"/>
        </w:rPr>
        <w:t>判定。</w:t>
      </w:r>
      <w:r>
        <w:rPr>
          <w:rFonts w:hint="eastAsia" w:ascii="仿宋_GB2312" w:hAnsi="仿宋_GB2312" w:eastAsia="仿宋_GB2312" w:cs="仿宋_GB2312"/>
          <w:color w:val="000000"/>
          <w:sz w:val="32"/>
          <w:szCs w:val="32"/>
        </w:rPr>
        <w:t xml:space="preserve"> </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若被检产品明示的质量要求高于本细则中检验项目依据的标准要求时，应按被检产品明示的质量要求判定（苯类溶剂残留量除外）。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3"/>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因溶剂残留量（溶剂残留量总量和苯类溶剂）易挥发、不稳定等特点，长期存放影响其残留本体含量，故溶剂残留量（溶剂残留量总量和苯类溶剂）项目不合格不进行复检。</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依据GB 4789.1-2016 《食品安全国家标准 食品微生物学检验 总则》第7.3条规定“检验结果报告后，剩余样品和同批产品不进行微生物项目的复检”和卫健委《健康相关产品国家卫生监督抽检规定》（卫监督发〔2005〕515号）第十九条：“产品微生物指标超标的不予复检”的规定，微生物指标不合格不进行复检。</w:t>
      </w: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E55D7"/>
    <w:rsid w:val="33563BE5"/>
    <w:rsid w:val="3A0E0774"/>
    <w:rsid w:val="3D4862AB"/>
    <w:rsid w:val="73AE55D7"/>
    <w:rsid w:val="75830F58"/>
    <w:rsid w:val="7FBE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2020-08-13T09:11:00Z</dcterms:created>
  <dc:creator>徐立君</dc:creator>
  <cp:lastModifiedBy>王鑫</cp:lastModifiedBy>
  <dcterms:modified xsi:type="dcterms:W3CDTF">2021-03-15T01:45:16Z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