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b w:val="0"/>
          <w:bCs w:val="0"/>
          <w:color w:val="000000"/>
          <w:spacing w:val="-6"/>
          <w:sz w:val="32"/>
          <w:szCs w:val="32"/>
          <w:lang w:eastAsia="zh-CN"/>
        </w:rPr>
        <w:t>黑龙江省</w:t>
      </w:r>
      <w:r>
        <w:rPr>
          <w:rFonts w:hint="eastAsia" w:ascii="黑体" w:hAnsi="黑体" w:eastAsia="黑体" w:cs="黑体"/>
          <w:b w:val="0"/>
          <w:bCs w:val="0"/>
          <w:color w:val="000000"/>
          <w:spacing w:val="-6"/>
          <w:sz w:val="32"/>
          <w:szCs w:val="32"/>
        </w:rPr>
        <w:t>食品接触用纸容器产品质量</w:t>
      </w:r>
      <w:r>
        <w:rPr>
          <w:rFonts w:hint="eastAsia" w:ascii="黑体" w:hAnsi="黑体" w:eastAsia="黑体" w:cs="黑体"/>
          <w:b w:val="0"/>
          <w:bCs w:val="0"/>
          <w:color w:val="000000"/>
          <w:spacing w:val="-6"/>
          <w:sz w:val="32"/>
          <w:szCs w:val="32"/>
          <w:lang w:eastAsia="zh-CN"/>
        </w:rPr>
        <w:t>省级</w:t>
      </w:r>
      <w:r>
        <w:rPr>
          <w:rFonts w:hint="eastAsia" w:ascii="黑体" w:hAnsi="黑体" w:eastAsia="黑体" w:cs="黑体"/>
          <w:b w:val="0"/>
          <w:bCs w:val="0"/>
          <w:color w:val="000000"/>
          <w:spacing w:val="-6"/>
          <w:sz w:val="32"/>
          <w:szCs w:val="32"/>
        </w:rPr>
        <w:t>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keepNext w:val="0"/>
        <w:keepLines w:val="0"/>
        <w:pageBreakBefore w:val="0"/>
        <w:kinsoku/>
        <w:wordWrap/>
        <w:overflowPunct/>
        <w:topLinePunct w:val="0"/>
        <w:autoSpaceDE/>
        <w:autoSpaceDN/>
        <w:bidi w:val="0"/>
        <w:spacing w:line="240" w:lineRule="auto"/>
        <w:jc w:val="center"/>
        <w:rPr>
          <w:rFonts w:hint="eastAsia" w:ascii="黑体" w:hAnsi="黑体" w:eastAsia="黑体" w:cs="黑体"/>
          <w:b w:val="0"/>
          <w:bCs w:val="0"/>
          <w:color w:val="000000"/>
          <w:sz w:val="32"/>
          <w:szCs w:val="32"/>
        </w:rPr>
      </w:pPr>
      <w:bookmarkStart w:id="0" w:name="_GoBack"/>
      <w:bookmarkEnd w:id="0"/>
    </w:p>
    <w:p>
      <w:pPr>
        <w:keepNext w:val="0"/>
        <w:keepLines w:val="0"/>
        <w:pageBreakBefore w:val="0"/>
        <w:kinsoku/>
        <w:wordWrap/>
        <w:overflowPunct/>
        <w:topLinePunct w:val="0"/>
        <w:autoSpaceDE/>
        <w:autoSpaceDN/>
        <w:bidi w:val="0"/>
        <w:spacing w:line="240" w:lineRule="auto"/>
        <w:ind w:firstLine="643" w:firstLineChars="200"/>
        <w:outlineLvl w:val="1"/>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sz w:val="32"/>
          <w:szCs w:val="32"/>
        </w:rPr>
        <w:t>抽样方法</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以随机抽样的方式在被抽样生产者、销售者的待销产品中抽取。</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随机数一般可使用随机数表等方法产生。</w:t>
      </w:r>
    </w:p>
    <w:p>
      <w:pPr>
        <w:keepNext w:val="0"/>
        <w:keepLines w:val="0"/>
        <w:pageBreakBefore w:val="0"/>
        <w:kinsoku/>
        <w:wordWrap/>
        <w:overflowPunct/>
        <w:topLinePunct w:val="0"/>
        <w:autoSpaceDE/>
        <w:autoSpaceDN/>
        <w:bidi w:val="0"/>
        <w:spacing w:line="240" w:lineRule="auto"/>
        <w:ind w:firstLine="640" w:firstLineChars="2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表1 抽取样品数量</w:t>
      </w:r>
    </w:p>
    <w:tbl>
      <w:tblPr>
        <w:tblStyle w:val="4"/>
        <w:tblW w:w="8346" w:type="dxa"/>
        <w:jc w:val="center"/>
        <w:tblInd w:w="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525"/>
        <w:gridCol w:w="2036"/>
        <w:gridCol w:w="2179"/>
        <w:gridCol w:w="1350"/>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4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56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抽样数量</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（只/支）</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检验样品数量</w:t>
            </w:r>
            <w:r>
              <w:rPr>
                <w:rFonts w:hint="eastAsia" w:ascii="仿宋_GB2312" w:hAnsi="仿宋_GB2312" w:eastAsia="仿宋_GB2312" w:cs="仿宋_GB2312"/>
                <w:sz w:val="28"/>
                <w:szCs w:val="28"/>
              </w:rPr>
              <w:t>（只/支）</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备用样品数量</w:t>
            </w:r>
            <w:r>
              <w:rPr>
                <w:rFonts w:hint="eastAsia" w:ascii="仿宋_GB2312" w:hAnsi="仿宋_GB2312" w:eastAsia="仿宋_GB2312" w:cs="仿宋_GB2312"/>
                <w:sz w:val="28"/>
                <w:szCs w:val="28"/>
              </w:rPr>
              <w:t>（只/支）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56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纸餐具</w:t>
            </w: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70</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56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纸盒</w:t>
            </w: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40</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56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纸袋</w:t>
            </w: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60（若样品过小、过大时，应调整抽样量满足总质量不少于0.25kg,不多于3kg，检验、备样按比例：2:1抽取）</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40</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1"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52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纸罐</w:t>
            </w:r>
          </w:p>
        </w:tc>
        <w:tc>
          <w:tcPr>
            <w:tcW w:w="203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纸板类罐</w:t>
            </w: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p>
        </w:tc>
        <w:tc>
          <w:tcPr>
            <w:tcW w:w="525"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p>
        </w:tc>
        <w:tc>
          <w:tcPr>
            <w:tcW w:w="203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圆柱形复合罐</w:t>
            </w: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40</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56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纸杯</w:t>
            </w: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w:t>
            </w:r>
          </w:p>
        </w:tc>
      </w:tr>
    </w:tbl>
    <w:p>
      <w:pPr>
        <w:keepNext w:val="0"/>
        <w:keepLines w:val="0"/>
        <w:pageBreakBefore w:val="0"/>
        <w:widowControl w:val="0"/>
        <w:kinsoku/>
        <w:wordWrap/>
        <w:overflowPunct/>
        <w:topLinePunct w:val="0"/>
        <w:autoSpaceDE/>
        <w:autoSpaceDN/>
        <w:bidi w:val="0"/>
        <w:adjustRightInd/>
        <w:snapToGrid/>
        <w:spacing w:line="0" w:lineRule="atLeast"/>
        <w:ind w:firstLine="643" w:firstLineChars="200"/>
        <w:textAlignment w:val="auto"/>
        <w:outlineLvl w:val="9"/>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color w:val="000000"/>
          <w:sz w:val="32"/>
          <w:szCs w:val="32"/>
        </w:rPr>
        <w:t>检验依据</w:t>
      </w:r>
    </w:p>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表2 纸餐具（淋膜纸餐具）</w:t>
      </w:r>
    </w:p>
    <w:tbl>
      <w:tblPr>
        <w:tblStyle w:val="4"/>
        <w:tblW w:w="8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305"/>
        <w:gridCol w:w="4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403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感官要求</w:t>
            </w:r>
          </w:p>
        </w:tc>
        <w:tc>
          <w:tcPr>
            <w:tcW w:w="403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铅</w:t>
            </w:r>
          </w:p>
        </w:tc>
        <w:tc>
          <w:tcPr>
            <w:tcW w:w="403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31604.34-2016第一部分</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砷</w:t>
            </w:r>
          </w:p>
        </w:tc>
        <w:tc>
          <w:tcPr>
            <w:tcW w:w="403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31604.38-2016第一部分</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甲醛</w:t>
            </w:r>
          </w:p>
        </w:tc>
        <w:tc>
          <w:tcPr>
            <w:tcW w:w="403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荧光性物质</w:t>
            </w:r>
          </w:p>
        </w:tc>
        <w:tc>
          <w:tcPr>
            <w:tcW w:w="403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总迁移量</w:t>
            </w:r>
          </w:p>
        </w:tc>
        <w:tc>
          <w:tcPr>
            <w:tcW w:w="403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高锰酸钾消耗量</w:t>
            </w:r>
          </w:p>
        </w:tc>
        <w:tc>
          <w:tcPr>
            <w:tcW w:w="403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重金属（以Pb计）</w:t>
            </w:r>
          </w:p>
        </w:tc>
        <w:tc>
          <w:tcPr>
            <w:tcW w:w="403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大肠菌群</w:t>
            </w:r>
          </w:p>
        </w:tc>
        <w:tc>
          <w:tcPr>
            <w:tcW w:w="403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3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沙门氏菌</w:t>
            </w:r>
          </w:p>
        </w:tc>
        <w:tc>
          <w:tcPr>
            <w:tcW w:w="403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3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霉菌</w:t>
            </w:r>
          </w:p>
        </w:tc>
        <w:tc>
          <w:tcPr>
            <w:tcW w:w="403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3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耐温试验（95℃±5℃的油、水，30min）</w:t>
            </w:r>
          </w:p>
        </w:tc>
        <w:tc>
          <w:tcPr>
            <w:tcW w:w="403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27589-2011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3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渗漏性能（95℃±5℃水、油）</w:t>
            </w:r>
          </w:p>
        </w:tc>
        <w:tc>
          <w:tcPr>
            <w:tcW w:w="403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27591-2011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3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渗漏性能（90℃±5℃水、95℃±5℃油）</w:t>
            </w:r>
          </w:p>
        </w:tc>
        <w:tc>
          <w:tcPr>
            <w:tcW w:w="403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2898-2007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3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抗压强度</w:t>
            </w:r>
          </w:p>
        </w:tc>
        <w:tc>
          <w:tcPr>
            <w:tcW w:w="403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27591-2011 4.5</w:t>
            </w:r>
          </w:p>
        </w:tc>
      </w:tr>
    </w:tbl>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表3纸餐具（纸浆模塑餐具）</w:t>
      </w:r>
    </w:p>
    <w:tbl>
      <w:tblPr>
        <w:tblStyle w:val="4"/>
        <w:tblW w:w="8475"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034"/>
        <w:gridCol w:w="4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0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44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感官要求</w:t>
            </w:r>
          </w:p>
        </w:tc>
        <w:tc>
          <w:tcPr>
            <w:tcW w:w="44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铅</w:t>
            </w:r>
          </w:p>
        </w:tc>
        <w:tc>
          <w:tcPr>
            <w:tcW w:w="44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31604.34-2016第一部分或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砷</w:t>
            </w:r>
          </w:p>
        </w:tc>
        <w:tc>
          <w:tcPr>
            <w:tcW w:w="44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31604.38-2016第一部分或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甲醛</w:t>
            </w:r>
          </w:p>
        </w:tc>
        <w:tc>
          <w:tcPr>
            <w:tcW w:w="44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荧光性物质</w:t>
            </w:r>
          </w:p>
        </w:tc>
        <w:tc>
          <w:tcPr>
            <w:tcW w:w="44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总迁移量</w:t>
            </w:r>
          </w:p>
        </w:tc>
        <w:tc>
          <w:tcPr>
            <w:tcW w:w="44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高锰酸钾消耗量</w:t>
            </w:r>
          </w:p>
        </w:tc>
        <w:tc>
          <w:tcPr>
            <w:tcW w:w="44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重金属（以Pb计）</w:t>
            </w:r>
          </w:p>
        </w:tc>
        <w:tc>
          <w:tcPr>
            <w:tcW w:w="44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大肠菌群</w:t>
            </w:r>
          </w:p>
        </w:tc>
        <w:tc>
          <w:tcPr>
            <w:tcW w:w="44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沙门氏菌</w:t>
            </w:r>
          </w:p>
        </w:tc>
        <w:tc>
          <w:tcPr>
            <w:tcW w:w="44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30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霉菌</w:t>
            </w:r>
          </w:p>
        </w:tc>
        <w:tc>
          <w:tcPr>
            <w:tcW w:w="44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4789.15-2016</w:t>
            </w:r>
          </w:p>
        </w:tc>
      </w:tr>
    </w:tbl>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表4 纸餐具（纸板餐具）</w:t>
      </w:r>
    </w:p>
    <w:tbl>
      <w:tblPr>
        <w:tblStyle w:val="4"/>
        <w:tblW w:w="8728" w:type="dxa"/>
        <w:jc w:val="center"/>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843"/>
        <w:gridCol w:w="4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blHeader/>
          <w:jc w:val="center"/>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49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感官要求</w:t>
            </w:r>
          </w:p>
        </w:tc>
        <w:tc>
          <w:tcPr>
            <w:tcW w:w="49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铅</w:t>
            </w:r>
          </w:p>
        </w:tc>
        <w:tc>
          <w:tcPr>
            <w:tcW w:w="49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31604.34-2016第一部分或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砷</w:t>
            </w:r>
          </w:p>
        </w:tc>
        <w:tc>
          <w:tcPr>
            <w:tcW w:w="4953"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31604.38-2016第一部分或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甲醛</w:t>
            </w:r>
          </w:p>
        </w:tc>
        <w:tc>
          <w:tcPr>
            <w:tcW w:w="49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荧光性物质</w:t>
            </w:r>
          </w:p>
        </w:tc>
        <w:tc>
          <w:tcPr>
            <w:tcW w:w="49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总迁移量</w:t>
            </w:r>
          </w:p>
        </w:tc>
        <w:tc>
          <w:tcPr>
            <w:tcW w:w="49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高锰酸钾消耗量</w:t>
            </w:r>
          </w:p>
        </w:tc>
        <w:tc>
          <w:tcPr>
            <w:tcW w:w="49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重金属（以Pb计）</w:t>
            </w:r>
          </w:p>
        </w:tc>
        <w:tc>
          <w:tcPr>
            <w:tcW w:w="49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大肠菌群</w:t>
            </w:r>
          </w:p>
        </w:tc>
        <w:tc>
          <w:tcPr>
            <w:tcW w:w="49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沙门氏菌</w:t>
            </w:r>
          </w:p>
        </w:tc>
        <w:tc>
          <w:tcPr>
            <w:tcW w:w="49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霉菌</w:t>
            </w:r>
          </w:p>
        </w:tc>
        <w:tc>
          <w:tcPr>
            <w:tcW w:w="495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4789.15-2016</w:t>
            </w:r>
          </w:p>
        </w:tc>
      </w:tr>
    </w:tbl>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表5 纸盒</w:t>
      </w:r>
    </w:p>
    <w:tbl>
      <w:tblPr>
        <w:tblStyle w:val="4"/>
        <w:tblW w:w="8474" w:type="dxa"/>
        <w:jc w:val="center"/>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033"/>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0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446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0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感官要求</w:t>
            </w:r>
          </w:p>
        </w:tc>
        <w:tc>
          <w:tcPr>
            <w:tcW w:w="446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0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铅</w:t>
            </w:r>
          </w:p>
        </w:tc>
        <w:tc>
          <w:tcPr>
            <w:tcW w:w="446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31604.34-2016第一部分或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0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砷</w:t>
            </w:r>
          </w:p>
        </w:tc>
        <w:tc>
          <w:tcPr>
            <w:tcW w:w="446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31604.38-2016第一部分或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0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甲醛</w:t>
            </w:r>
          </w:p>
        </w:tc>
        <w:tc>
          <w:tcPr>
            <w:tcW w:w="446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0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荧光性物质</w:t>
            </w:r>
          </w:p>
        </w:tc>
        <w:tc>
          <w:tcPr>
            <w:tcW w:w="446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0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总迁移量</w:t>
            </w:r>
          </w:p>
        </w:tc>
        <w:tc>
          <w:tcPr>
            <w:tcW w:w="446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0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高锰酸钾消耗量</w:t>
            </w:r>
          </w:p>
        </w:tc>
        <w:tc>
          <w:tcPr>
            <w:tcW w:w="446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0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重金属（以Pb计）</w:t>
            </w:r>
          </w:p>
        </w:tc>
        <w:tc>
          <w:tcPr>
            <w:tcW w:w="446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0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大肠菌群</w:t>
            </w:r>
          </w:p>
        </w:tc>
        <w:tc>
          <w:tcPr>
            <w:tcW w:w="446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30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沙门氏菌</w:t>
            </w:r>
          </w:p>
        </w:tc>
        <w:tc>
          <w:tcPr>
            <w:tcW w:w="446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30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霉菌</w:t>
            </w:r>
          </w:p>
        </w:tc>
        <w:tc>
          <w:tcPr>
            <w:tcW w:w="446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4789.15-2016</w:t>
            </w:r>
          </w:p>
        </w:tc>
      </w:tr>
    </w:tbl>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表6 纸袋</w:t>
      </w:r>
    </w:p>
    <w:tbl>
      <w:tblPr>
        <w:tblStyle w:val="4"/>
        <w:tblW w:w="8560" w:type="dxa"/>
        <w:jc w:val="center"/>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311"/>
        <w:gridCol w:w="4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3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42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3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感官要求</w:t>
            </w:r>
          </w:p>
        </w:tc>
        <w:tc>
          <w:tcPr>
            <w:tcW w:w="42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3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铅</w:t>
            </w:r>
          </w:p>
        </w:tc>
        <w:tc>
          <w:tcPr>
            <w:tcW w:w="42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31604.34-2016第一部分或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3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砷</w:t>
            </w:r>
          </w:p>
        </w:tc>
        <w:tc>
          <w:tcPr>
            <w:tcW w:w="42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31604.38-2016第一部分或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3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甲醛</w:t>
            </w:r>
          </w:p>
        </w:tc>
        <w:tc>
          <w:tcPr>
            <w:tcW w:w="42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3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荧光性物质</w:t>
            </w:r>
          </w:p>
        </w:tc>
        <w:tc>
          <w:tcPr>
            <w:tcW w:w="42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3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总迁移量</w:t>
            </w:r>
          </w:p>
        </w:tc>
        <w:tc>
          <w:tcPr>
            <w:tcW w:w="42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3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高锰酸钾消耗量</w:t>
            </w:r>
          </w:p>
        </w:tc>
        <w:tc>
          <w:tcPr>
            <w:tcW w:w="42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3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重金属（以Pb计）</w:t>
            </w:r>
          </w:p>
        </w:tc>
        <w:tc>
          <w:tcPr>
            <w:tcW w:w="42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3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大肠菌群</w:t>
            </w:r>
          </w:p>
        </w:tc>
        <w:tc>
          <w:tcPr>
            <w:tcW w:w="42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33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沙门氏菌</w:t>
            </w:r>
          </w:p>
        </w:tc>
        <w:tc>
          <w:tcPr>
            <w:tcW w:w="42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33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霉菌</w:t>
            </w:r>
          </w:p>
        </w:tc>
        <w:tc>
          <w:tcPr>
            <w:tcW w:w="42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4789.15-2016</w:t>
            </w: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表7 纸罐（纸板类罐）</w:t>
      </w:r>
    </w:p>
    <w:tbl>
      <w:tblPr>
        <w:tblStyle w:val="4"/>
        <w:tblW w:w="8499" w:type="dxa"/>
        <w:jc w:val="center"/>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311"/>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3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429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3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感官</w:t>
            </w:r>
          </w:p>
        </w:tc>
        <w:tc>
          <w:tcPr>
            <w:tcW w:w="429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3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铅</w:t>
            </w:r>
          </w:p>
        </w:tc>
        <w:tc>
          <w:tcPr>
            <w:tcW w:w="429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31604.34-2016第一部分或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3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砷</w:t>
            </w:r>
          </w:p>
        </w:tc>
        <w:tc>
          <w:tcPr>
            <w:tcW w:w="429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31604.38-2016第一部分或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3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甲醛</w:t>
            </w:r>
          </w:p>
        </w:tc>
        <w:tc>
          <w:tcPr>
            <w:tcW w:w="429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3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荧光性物质</w:t>
            </w:r>
          </w:p>
        </w:tc>
        <w:tc>
          <w:tcPr>
            <w:tcW w:w="429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3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大肠菌群</w:t>
            </w:r>
          </w:p>
        </w:tc>
        <w:tc>
          <w:tcPr>
            <w:tcW w:w="429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3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沙门氏菌</w:t>
            </w:r>
          </w:p>
        </w:tc>
        <w:tc>
          <w:tcPr>
            <w:tcW w:w="429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3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霉菌</w:t>
            </w:r>
          </w:p>
        </w:tc>
        <w:tc>
          <w:tcPr>
            <w:tcW w:w="429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4789.15-2016</w:t>
            </w:r>
          </w:p>
        </w:tc>
      </w:tr>
    </w:tbl>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表8 纸罐（圆柱形复合罐）</w:t>
      </w:r>
    </w:p>
    <w:tbl>
      <w:tblPr>
        <w:tblStyle w:val="4"/>
        <w:tblW w:w="8571" w:type="dxa"/>
        <w:jc w:val="center"/>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3167"/>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16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451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16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感官</w:t>
            </w:r>
          </w:p>
        </w:tc>
        <w:tc>
          <w:tcPr>
            <w:tcW w:w="451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16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大肠菌群</w:t>
            </w:r>
          </w:p>
        </w:tc>
        <w:tc>
          <w:tcPr>
            <w:tcW w:w="451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16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沙门氏菌</w:t>
            </w:r>
          </w:p>
        </w:tc>
        <w:tc>
          <w:tcPr>
            <w:tcW w:w="451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16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霉菌</w:t>
            </w:r>
          </w:p>
        </w:tc>
        <w:tc>
          <w:tcPr>
            <w:tcW w:w="451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16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端盖脱离力</w:t>
            </w:r>
          </w:p>
        </w:tc>
        <w:tc>
          <w:tcPr>
            <w:tcW w:w="451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10440-2008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16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轴向压溃力</w:t>
            </w:r>
          </w:p>
        </w:tc>
        <w:tc>
          <w:tcPr>
            <w:tcW w:w="451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10440-2008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16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快速泄漏试验</w:t>
            </w:r>
          </w:p>
        </w:tc>
        <w:tc>
          <w:tcPr>
            <w:tcW w:w="451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10440-2008 5.6</w:t>
            </w:r>
          </w:p>
        </w:tc>
      </w:tr>
    </w:tbl>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表9 纸杯</w:t>
      </w:r>
    </w:p>
    <w:tbl>
      <w:tblPr>
        <w:tblStyle w:val="4"/>
        <w:tblW w:w="8413" w:type="dxa"/>
        <w:jc w:val="center"/>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149"/>
        <w:gridCol w:w="4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314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14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感官要求</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14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铅</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31604.34-2016第一部分或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14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砷</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31604.38-2016第一部分或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14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甲醛</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14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荧光性物质</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14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总迁移量</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14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高锰酸钾消耗量</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14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重金属（以Pb计）</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14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大肠菌群</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314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沙门氏菌</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314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霉菌</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314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感官指标</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27590-2011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314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渗漏性能</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27590-2011 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314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杯身挺度</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27590-2011 5.4.2</w:t>
            </w: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执行企业标准、团体标准、地方标准的产品，检验项目参照上述内容执行。</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autoSpaceDE/>
        <w:autoSpaceDN/>
        <w:bidi w:val="0"/>
        <w:spacing w:line="240" w:lineRule="auto"/>
        <w:ind w:firstLine="643" w:firstLineChars="200"/>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判定规则</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b w:val="0"/>
          <w:bCs w:val="0"/>
          <w:color w:val="000000"/>
          <w:sz w:val="32"/>
          <w:szCs w:val="32"/>
        </w:rPr>
        <w:t>依据标准</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27589-2011 纸餐盒</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27591-2011 纸碗</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QB/T 2898-2007 餐用纸制品</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10440-2008 圆柱形复合罐</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 4806.7-2016 食品安全国家标准 食品接触用塑料材料及制品</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 4806.8-2016 食品安全国家标准 食品接触用纸和纸板材料及制品</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 4806.7-2016 食品安全国家标准 食品接触用塑料材料及制品</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 4806.8-2016 食品安全国家标准 食品接触用纸和纸板材料及制品</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27590-2011 纸杯</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现行有效的企业标准、团体标准、地方标准及产品明示质量要求</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val="0"/>
          <w:bCs w:val="0"/>
          <w:color w:val="000000"/>
          <w:sz w:val="32"/>
          <w:szCs w:val="32"/>
          <w:lang w:val="en-US" w:eastAsia="zh-CN"/>
        </w:rPr>
        <w:t>3.2</w:t>
      </w:r>
      <w:r>
        <w:rPr>
          <w:rFonts w:hint="eastAsia" w:ascii="仿宋_GB2312" w:hAnsi="仿宋_GB2312" w:eastAsia="仿宋_GB2312" w:cs="仿宋_GB2312"/>
          <w:b w:val="0"/>
          <w:bCs w:val="0"/>
          <w:color w:val="000000"/>
          <w:sz w:val="32"/>
          <w:szCs w:val="32"/>
        </w:rPr>
        <w:t>判定原则</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根据</w:t>
      </w:r>
      <w:r>
        <w:rPr>
          <w:rFonts w:hint="eastAsia" w:ascii="仿宋_GB2312" w:hAnsi="仿宋_GB2312" w:eastAsia="仿宋_GB2312" w:cs="仿宋_GB2312"/>
          <w:color w:val="000000"/>
          <w:sz w:val="32"/>
          <w:szCs w:val="32"/>
        </w:rPr>
        <w:t>GB/T 27589-2011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GB/T 27591-2011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QB/T 2898-2007</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GB/T 10440-2008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 4806.7-2016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 4806.8-2016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 4806.7-2016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 4806.8-2016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GB/T 27590-2011</w:t>
      </w:r>
      <w:r>
        <w:rPr>
          <w:rFonts w:hint="eastAsia" w:ascii="仿宋_GB2312" w:hAnsi="仿宋_GB2312" w:eastAsia="仿宋_GB2312" w:cs="仿宋_GB2312"/>
          <w:color w:val="000000"/>
          <w:sz w:val="32"/>
          <w:szCs w:val="32"/>
          <w:lang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若被检产品明示的质量要求高于本细则中检验项目依据的标准要求时，应按被检产品明示的质量要求判定。</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若被检产品明示的质量要求低于本细则中检验项目依据的强制性标准要求时，应按照强制性标准要求判定。</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若被检产品明示的质量要求低于或包含本细则中检验项目依据的推荐性标准要求时，应以被检产品明示的质量要求判定。</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若被检产品明示的质量要求缺少本细则中检验项目依据的推荐性标准要求时，该项目不参与判定</w:t>
      </w:r>
      <w:r>
        <w:rPr>
          <w:rFonts w:hint="eastAsia" w:ascii="仿宋_GB2312" w:hAnsi="仿宋_GB2312" w:eastAsia="仿宋_GB2312" w:cs="仿宋_GB2312"/>
          <w:color w:val="000000"/>
          <w:sz w:val="32"/>
          <w:szCs w:val="32"/>
          <w:shd w:val="clear" w:color="auto" w:fill="FFFFFF"/>
        </w:rPr>
        <w:t>，但应在检验报告备注中进行说明。</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根据GB 4789.1-2016 《食品安全国家标准 食品微生物学检验 总则》第7.3条规定“检验结果报告后，剩余样品和同批产品不进行微生物项目的复检”和卫健委《健康相关产品国家卫生监督抽检规定》（卫监督发〔2005〕515号）第十九条：“产品微生物指标超标的不予复检”的规定，微生物指标不合格不进行复检。</w:t>
      </w:r>
    </w:p>
    <w:p>
      <w:pPr>
        <w:keepNext w:val="0"/>
        <w:keepLines w:val="0"/>
        <w:pageBreakBefore w:val="0"/>
        <w:kinsoku/>
        <w:wordWrap/>
        <w:overflowPunct/>
        <w:topLinePunct w:val="0"/>
        <w:autoSpaceDE/>
        <w:autoSpaceDN/>
        <w:bidi w:val="0"/>
        <w:spacing w:line="240" w:lineRule="auto"/>
        <w:ind w:firstLine="643" w:firstLineChars="200"/>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ind w:firstLine="643" w:firstLineChars="200"/>
        <w:rPr>
          <w:rFonts w:hint="eastAsia" w:ascii="仿宋_GB2312" w:hAnsi="仿宋_GB2312" w:eastAsia="仿宋_GB2312" w:cs="仿宋_GB2312"/>
          <w:b/>
          <w:bCs/>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9516C"/>
    <w:rsid w:val="0609516C"/>
    <w:rsid w:val="079C10D3"/>
    <w:rsid w:val="2A8F60EC"/>
    <w:rsid w:val="57A74BC4"/>
    <w:rsid w:val="57C408C9"/>
    <w:rsid w:val="67D34599"/>
    <w:rsid w:val="721B4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2020-08-13T09:24:00Z</dcterms:created>
  <dc:creator>徐立君</dc:creator>
  <cp:lastModifiedBy>王鑫</cp:lastModifiedBy>
  <dcterms:modified xsi:type="dcterms:W3CDTF">2021-03-15T01:46:10Z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