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color w:val="000000"/>
          <w:sz w:val="32"/>
          <w:szCs w:val="32"/>
          <w:lang w:val="en-US" w:eastAsia="zh-CN"/>
        </w:rPr>
        <w:t>黑龙江省</w:t>
      </w:r>
      <w:r>
        <w:rPr>
          <w:rFonts w:hint="eastAsia" w:ascii="黑体" w:hAnsi="黑体" w:eastAsia="黑体" w:cs="黑体"/>
          <w:color w:val="000000"/>
          <w:sz w:val="32"/>
          <w:szCs w:val="32"/>
        </w:rPr>
        <w:t>眼镜架产品质量</w:t>
      </w:r>
      <w:r>
        <w:rPr>
          <w:rFonts w:hint="eastAsia" w:ascii="黑体" w:hAnsi="黑体" w:eastAsia="黑体" w:cs="黑体"/>
          <w:color w:val="000000"/>
          <w:sz w:val="32"/>
          <w:szCs w:val="32"/>
          <w:lang w:eastAsia="zh-CN"/>
        </w:rPr>
        <w:t>省级</w:t>
      </w:r>
      <w:r>
        <w:rPr>
          <w:rFonts w:hint="eastAsia" w:ascii="黑体" w:hAnsi="黑体" w:eastAsia="黑体" w:cs="黑体"/>
          <w:color w:val="000000"/>
          <w:sz w:val="32"/>
          <w:szCs w:val="32"/>
        </w:rPr>
        <w:t>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adjustRightInd w:val="0"/>
        <w:snapToGrid w:val="0"/>
        <w:spacing w:line="594" w:lineRule="exact"/>
        <w:jc w:val="center"/>
        <w:rPr>
          <w:rFonts w:hint="eastAsia" w:ascii="黑体" w:hAnsi="黑体" w:eastAsia="黑体" w:cs="黑体"/>
          <w:color w:val="000000"/>
          <w:sz w:val="32"/>
          <w:szCs w:val="32"/>
        </w:rPr>
      </w:pPr>
      <w:bookmarkStart w:id="8" w:name="_GoBack"/>
      <w:bookmarkEnd w:id="8"/>
    </w:p>
    <w:p>
      <w:pPr>
        <w:adjustRightInd w:val="0"/>
        <w:snapToGrid w:val="0"/>
        <w:spacing w:line="594" w:lineRule="exact"/>
        <w:jc w:val="center"/>
        <w:rPr>
          <w:rFonts w:eastAsia="方正小标宋简体" w:cs="方正仿宋简体"/>
          <w:color w:val="000000"/>
          <w:sz w:val="32"/>
          <w:szCs w:val="32"/>
        </w:rPr>
      </w:pPr>
    </w:p>
    <w:p>
      <w:pPr>
        <w:snapToGrid w:val="0"/>
        <w:spacing w:line="44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 抽样方法</w:t>
      </w:r>
    </w:p>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以随机抽样的方式在被抽样生产者、销售者的待销产品中抽取。</w:t>
      </w:r>
    </w:p>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随机数一般可使用随机数表等方法产生。</w:t>
      </w:r>
    </w:p>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每批次产品抽取样品8副，其中4副作为检验样品，4副作为备用样品。</w:t>
      </w:r>
    </w:p>
    <w:p>
      <w:pPr>
        <w:snapToGrid w:val="0"/>
        <w:spacing w:line="440" w:lineRule="exact"/>
        <w:rPr>
          <w:rFonts w:hint="eastAsia" w:ascii="仿宋_GB2312" w:hAnsi="仿宋_GB2312" w:eastAsia="仿宋_GB2312" w:cs="仿宋_GB2312"/>
          <w:b/>
          <w:bCs/>
          <w:color w:val="000000"/>
          <w:sz w:val="32"/>
          <w:szCs w:val="32"/>
        </w:rPr>
      </w:pPr>
    </w:p>
    <w:p>
      <w:pPr>
        <w:snapToGrid w:val="0"/>
        <w:spacing w:line="44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 检验依据</w:t>
      </w:r>
    </w:p>
    <w:p>
      <w:pPr>
        <w:snapToGrid w:val="0"/>
        <w:spacing w:line="440" w:lineRule="exact"/>
        <w:rPr>
          <w:rFonts w:hint="eastAsia" w:ascii="仿宋_GB2312" w:hAnsi="仿宋_GB2312" w:eastAsia="仿宋_GB2312" w:cs="仿宋_GB2312"/>
          <w:b/>
          <w:bCs/>
          <w:color w:val="000000"/>
          <w:sz w:val="32"/>
          <w:szCs w:val="32"/>
        </w:rPr>
      </w:pPr>
    </w:p>
    <w:tbl>
      <w:tblPr>
        <w:tblStyle w:val="5"/>
        <w:tblW w:w="7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453"/>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90" w:type="dxa"/>
            <w:vAlign w:val="top"/>
          </w:tcPr>
          <w:p>
            <w:pPr>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453" w:type="dxa"/>
            <w:vAlign w:val="top"/>
          </w:tcPr>
          <w:p>
            <w:pPr>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3521" w:type="dxa"/>
            <w:vAlign w:val="top"/>
          </w:tcPr>
          <w:p>
            <w:pPr>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453" w:type="dxa"/>
            <w:vAlign w:val="center"/>
          </w:tcPr>
          <w:p>
            <w:pPr>
              <w:pStyle w:val="6"/>
              <w:widowControl w:val="0"/>
              <w:numPr>
                <w:ilvl w:val="0"/>
                <w:numId w:val="0"/>
              </w:numPr>
              <w:snapToGrid w:val="0"/>
              <w:spacing w:beforeLines="0" w:afterLines="0"/>
              <w:jc w:val="center"/>
              <w:outlineLvl w:val="9"/>
              <w:rPr>
                <w:rFonts w:hint="eastAsia" w:ascii="仿宋_GB2312" w:hAnsi="仿宋_GB2312" w:eastAsia="仿宋_GB2312" w:cs="仿宋_GB2312"/>
                <w:color w:val="000000"/>
                <w:kern w:val="2"/>
                <w:sz w:val="28"/>
                <w:szCs w:val="28"/>
              </w:rPr>
            </w:pPr>
            <w:bookmarkStart w:id="0" w:name="_Toc8741"/>
            <w:r>
              <w:rPr>
                <w:rFonts w:hint="eastAsia" w:ascii="仿宋_GB2312" w:hAnsi="仿宋_GB2312" w:eastAsia="仿宋_GB2312" w:cs="仿宋_GB2312"/>
                <w:color w:val="000000"/>
                <w:kern w:val="2"/>
                <w:sz w:val="28"/>
                <w:szCs w:val="28"/>
              </w:rPr>
              <w:t>高温尺寸稳定性</w:t>
            </w:r>
            <w:bookmarkEnd w:id="0"/>
          </w:p>
        </w:tc>
        <w:tc>
          <w:tcPr>
            <w:tcW w:w="3521" w:type="dxa"/>
            <w:vAlign w:val="center"/>
          </w:tcPr>
          <w:p>
            <w:pPr>
              <w:pStyle w:val="2"/>
              <w:snapToGrid w:val="0"/>
              <w:ind w:left="1260" w:hanging="1338"/>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GB/T 14214-2003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453" w:type="dxa"/>
            <w:vAlign w:val="center"/>
          </w:tcPr>
          <w:p>
            <w:pPr>
              <w:snapToGrid w:val="0"/>
              <w:jc w:val="center"/>
              <w:rPr>
                <w:rFonts w:hint="eastAsia" w:ascii="仿宋_GB2312" w:hAnsi="仿宋_GB2312" w:eastAsia="仿宋_GB2312" w:cs="仿宋_GB2312"/>
                <w:color w:val="000000"/>
                <w:sz w:val="28"/>
                <w:szCs w:val="28"/>
              </w:rPr>
            </w:pPr>
            <w:bookmarkStart w:id="1" w:name="_Toc21023"/>
            <w:r>
              <w:rPr>
                <w:rFonts w:hint="eastAsia" w:ascii="仿宋_GB2312" w:hAnsi="仿宋_GB2312" w:eastAsia="仿宋_GB2312" w:cs="仿宋_GB2312"/>
                <w:color w:val="000000"/>
                <w:sz w:val="28"/>
                <w:szCs w:val="28"/>
              </w:rPr>
              <w:t>抗拉性能</w:t>
            </w:r>
            <w:bookmarkEnd w:id="1"/>
          </w:p>
        </w:tc>
        <w:tc>
          <w:tcPr>
            <w:tcW w:w="3521" w:type="dxa"/>
            <w:vAlign w:val="center"/>
          </w:tcPr>
          <w:p>
            <w:pPr>
              <w:pStyle w:val="2"/>
              <w:snapToGrid w:val="0"/>
              <w:ind w:left="1260" w:hanging="1338"/>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GB/T 14214-2003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453" w:type="dxa"/>
            <w:vAlign w:val="center"/>
          </w:tcPr>
          <w:p>
            <w:pPr>
              <w:snapToGrid w:val="0"/>
              <w:jc w:val="center"/>
              <w:rPr>
                <w:rFonts w:hint="eastAsia" w:ascii="仿宋_GB2312" w:hAnsi="仿宋_GB2312" w:eastAsia="仿宋_GB2312" w:cs="仿宋_GB2312"/>
                <w:color w:val="000000"/>
                <w:sz w:val="28"/>
                <w:szCs w:val="28"/>
              </w:rPr>
            </w:pPr>
            <w:bookmarkStart w:id="2" w:name="_Toc27564"/>
            <w:r>
              <w:rPr>
                <w:rFonts w:hint="eastAsia" w:ascii="仿宋_GB2312" w:hAnsi="仿宋_GB2312" w:eastAsia="仿宋_GB2312" w:cs="仿宋_GB2312"/>
                <w:color w:val="000000"/>
                <w:sz w:val="28"/>
                <w:szCs w:val="28"/>
              </w:rPr>
              <w:t>鼻梁变形</w:t>
            </w:r>
            <w:bookmarkEnd w:id="2"/>
          </w:p>
        </w:tc>
        <w:tc>
          <w:tcPr>
            <w:tcW w:w="3521" w:type="dxa"/>
            <w:vAlign w:val="center"/>
          </w:tcPr>
          <w:p>
            <w:pPr>
              <w:pStyle w:val="2"/>
              <w:snapToGrid w:val="0"/>
              <w:ind w:left="1260" w:hanging="1338"/>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GB/T 14214-2003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453" w:type="dxa"/>
            <w:vAlign w:val="center"/>
          </w:tcPr>
          <w:p>
            <w:pPr>
              <w:snapToGrid w:val="0"/>
              <w:jc w:val="center"/>
              <w:rPr>
                <w:rFonts w:hint="eastAsia" w:ascii="仿宋_GB2312" w:hAnsi="仿宋_GB2312" w:eastAsia="仿宋_GB2312" w:cs="仿宋_GB2312"/>
                <w:color w:val="000000"/>
                <w:sz w:val="28"/>
                <w:szCs w:val="28"/>
              </w:rPr>
            </w:pPr>
            <w:bookmarkStart w:id="3" w:name="_Toc28683"/>
            <w:r>
              <w:rPr>
                <w:rFonts w:hint="eastAsia" w:ascii="仿宋_GB2312" w:hAnsi="仿宋_GB2312" w:eastAsia="仿宋_GB2312" w:cs="仿宋_GB2312"/>
                <w:color w:val="000000"/>
                <w:sz w:val="28"/>
                <w:szCs w:val="28"/>
              </w:rPr>
              <w:t>镜片夹持力</w:t>
            </w:r>
            <w:bookmarkEnd w:id="3"/>
          </w:p>
        </w:tc>
        <w:tc>
          <w:tcPr>
            <w:tcW w:w="3521" w:type="dxa"/>
            <w:vAlign w:val="center"/>
          </w:tcPr>
          <w:p>
            <w:pPr>
              <w:pStyle w:val="2"/>
              <w:snapToGrid w:val="0"/>
              <w:ind w:left="1260" w:hanging="1338"/>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GB/T 14214-2003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453" w:type="dxa"/>
            <w:vAlign w:val="center"/>
          </w:tcPr>
          <w:p>
            <w:pPr>
              <w:snapToGrid w:val="0"/>
              <w:jc w:val="center"/>
              <w:rPr>
                <w:rFonts w:hint="eastAsia" w:ascii="仿宋_GB2312" w:hAnsi="仿宋_GB2312" w:eastAsia="仿宋_GB2312" w:cs="仿宋_GB2312"/>
                <w:color w:val="000000"/>
                <w:sz w:val="28"/>
                <w:szCs w:val="28"/>
              </w:rPr>
            </w:pPr>
            <w:bookmarkStart w:id="4" w:name="_Toc17253"/>
            <w:r>
              <w:rPr>
                <w:rFonts w:hint="eastAsia" w:ascii="仿宋_GB2312" w:hAnsi="仿宋_GB2312" w:eastAsia="仿宋_GB2312" w:cs="仿宋_GB2312"/>
                <w:color w:val="000000"/>
                <w:sz w:val="28"/>
                <w:szCs w:val="28"/>
              </w:rPr>
              <w:t>耐疲劳</w:t>
            </w:r>
            <w:bookmarkEnd w:id="4"/>
          </w:p>
        </w:tc>
        <w:tc>
          <w:tcPr>
            <w:tcW w:w="3521" w:type="dxa"/>
            <w:vAlign w:val="center"/>
          </w:tcPr>
          <w:p>
            <w:pPr>
              <w:pStyle w:val="2"/>
              <w:snapToGrid w:val="0"/>
              <w:ind w:left="1260" w:hanging="1338"/>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GB/T 14214-2003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453" w:type="dxa"/>
            <w:vAlign w:val="center"/>
          </w:tcPr>
          <w:p>
            <w:pPr>
              <w:snapToGrid w:val="0"/>
              <w:jc w:val="center"/>
              <w:rPr>
                <w:rFonts w:hint="eastAsia" w:ascii="仿宋_GB2312" w:hAnsi="仿宋_GB2312" w:eastAsia="仿宋_GB2312" w:cs="仿宋_GB2312"/>
                <w:color w:val="000000"/>
                <w:sz w:val="28"/>
                <w:szCs w:val="28"/>
              </w:rPr>
            </w:pPr>
            <w:bookmarkStart w:id="5" w:name="_Toc11366"/>
            <w:r>
              <w:rPr>
                <w:rFonts w:hint="eastAsia" w:ascii="仿宋_GB2312" w:hAnsi="仿宋_GB2312" w:eastAsia="仿宋_GB2312" w:cs="仿宋_GB2312"/>
                <w:color w:val="000000"/>
                <w:sz w:val="28"/>
                <w:szCs w:val="28"/>
              </w:rPr>
              <w:t>镀层结合力</w:t>
            </w:r>
            <w:bookmarkEnd w:id="5"/>
          </w:p>
        </w:tc>
        <w:tc>
          <w:tcPr>
            <w:tcW w:w="3521" w:type="dxa"/>
            <w:vAlign w:val="center"/>
          </w:tcPr>
          <w:p>
            <w:pPr>
              <w:pStyle w:val="2"/>
              <w:snapToGrid w:val="0"/>
              <w:ind w:left="1260" w:hanging="1338"/>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GB/T 14214-2003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453" w:type="dxa"/>
            <w:vAlign w:val="center"/>
          </w:tcPr>
          <w:p>
            <w:pPr>
              <w:snapToGrid w:val="0"/>
              <w:jc w:val="center"/>
              <w:rPr>
                <w:rFonts w:hint="eastAsia" w:ascii="仿宋_GB2312" w:hAnsi="仿宋_GB2312" w:eastAsia="仿宋_GB2312" w:cs="仿宋_GB2312"/>
                <w:color w:val="000000"/>
                <w:sz w:val="28"/>
                <w:szCs w:val="28"/>
              </w:rPr>
            </w:pPr>
            <w:bookmarkStart w:id="6" w:name="_Toc4427"/>
            <w:r>
              <w:rPr>
                <w:rFonts w:hint="eastAsia" w:ascii="仿宋_GB2312" w:hAnsi="仿宋_GB2312" w:eastAsia="仿宋_GB2312" w:cs="仿宋_GB2312"/>
                <w:color w:val="000000"/>
                <w:sz w:val="28"/>
                <w:szCs w:val="28"/>
              </w:rPr>
              <w:t>抗汗腐蚀</w:t>
            </w:r>
            <w:bookmarkEnd w:id="6"/>
          </w:p>
        </w:tc>
        <w:tc>
          <w:tcPr>
            <w:tcW w:w="3521" w:type="dxa"/>
            <w:vAlign w:val="center"/>
          </w:tcPr>
          <w:p>
            <w:pPr>
              <w:pStyle w:val="2"/>
              <w:snapToGrid w:val="0"/>
              <w:ind w:left="1260" w:hanging="1338"/>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GB/T 14214-2003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0"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3453" w:type="dxa"/>
            <w:vAlign w:val="center"/>
          </w:tcPr>
          <w:p>
            <w:pPr>
              <w:pStyle w:val="6"/>
              <w:widowControl w:val="0"/>
              <w:numPr>
                <w:ilvl w:val="0"/>
                <w:numId w:val="0"/>
              </w:numPr>
              <w:snapToGrid w:val="0"/>
              <w:spacing w:beforeLines="0" w:afterLines="0"/>
              <w:jc w:val="center"/>
              <w:outlineLvl w:val="9"/>
              <w:rPr>
                <w:rFonts w:hint="eastAsia" w:ascii="仿宋_GB2312" w:hAnsi="仿宋_GB2312" w:eastAsia="仿宋_GB2312" w:cs="仿宋_GB2312"/>
                <w:color w:val="000000"/>
                <w:kern w:val="2"/>
                <w:sz w:val="28"/>
                <w:szCs w:val="28"/>
              </w:rPr>
            </w:pPr>
            <w:bookmarkStart w:id="7" w:name="_Toc27161"/>
            <w:r>
              <w:rPr>
                <w:rFonts w:hint="eastAsia" w:ascii="仿宋_GB2312" w:hAnsi="仿宋_GB2312" w:eastAsia="仿宋_GB2312" w:cs="仿宋_GB2312"/>
                <w:color w:val="000000"/>
                <w:kern w:val="2"/>
                <w:sz w:val="28"/>
                <w:szCs w:val="28"/>
              </w:rPr>
              <w:t>阻燃性</w:t>
            </w:r>
            <w:bookmarkEnd w:id="7"/>
          </w:p>
        </w:tc>
        <w:tc>
          <w:tcPr>
            <w:tcW w:w="3521" w:type="dxa"/>
            <w:vAlign w:val="center"/>
          </w:tcPr>
          <w:p>
            <w:pPr>
              <w:pStyle w:val="2"/>
              <w:snapToGrid w:val="0"/>
              <w:ind w:left="1260" w:hanging="1338"/>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GB/T 14214-2003</w:t>
            </w:r>
          </w:p>
        </w:tc>
      </w:tr>
    </w:tbl>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p>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执行企业标准、团体标准、地方标准的产品，检验项目参照上述内容执行。</w:t>
      </w:r>
    </w:p>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凡是注日期的文件，其随后所有的修改单（不包括勘误的内容）或修订版不适用于本细则。凡是不注日期的文件，其最新版本适用于本细则。</w:t>
      </w:r>
    </w:p>
    <w:p>
      <w:pPr>
        <w:snapToGrid w:val="0"/>
        <w:spacing w:line="440" w:lineRule="exact"/>
        <w:ind w:firstLine="359" w:firstLineChars="171"/>
        <w:rPr>
          <w:color w:val="000000"/>
          <w:szCs w:val="21"/>
        </w:rPr>
      </w:pPr>
    </w:p>
    <w:p>
      <w:pPr>
        <w:spacing w:line="360" w:lineRule="auto"/>
        <w:rPr>
          <w:rFonts w:eastAsia="黑体"/>
          <w:color w:val="000000"/>
          <w:sz w:val="32"/>
          <w:szCs w:val="32"/>
        </w:rPr>
      </w:pPr>
      <w:r>
        <w:rPr>
          <w:rFonts w:eastAsia="黑体"/>
          <w:color w:val="000000"/>
          <w:sz w:val="32"/>
          <w:szCs w:val="32"/>
        </w:rPr>
        <w:t>3 判定规则</w:t>
      </w:r>
    </w:p>
    <w:p>
      <w:pPr>
        <w:pStyle w:val="3"/>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3.1依据标准</w:t>
      </w:r>
    </w:p>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GB/T 14214-2003 眼镜架 通用要求和试验方法</w:t>
      </w:r>
    </w:p>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现行有效的企业标准、团体标准、地方标准及产品明示质量要求</w:t>
      </w:r>
    </w:p>
    <w:p>
      <w:pPr>
        <w:pStyle w:val="3"/>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3.2判定原则</w:t>
      </w:r>
    </w:p>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根据</w:t>
      </w:r>
      <w:r>
        <w:rPr>
          <w:rFonts w:hint="eastAsia" w:ascii="仿宋_GB2312" w:hAnsi="仿宋_GB2312" w:eastAsia="仿宋_GB2312" w:cs="仿宋_GB2312"/>
          <w:color w:val="000000"/>
          <w:sz w:val="32"/>
          <w:szCs w:val="32"/>
          <w:shd w:val="clear" w:color="auto" w:fill="FFFFFF"/>
          <w:lang w:val="en-US" w:eastAsia="zh-CN"/>
        </w:rPr>
        <w:t>GB/T 14214-2003判定。</w:t>
      </w:r>
    </w:p>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3"/>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若被检产品明示的质量要求高于本细则中检验项目依据的标准要求时，应按被检产品明示的质量要求判定。</w:t>
      </w:r>
    </w:p>
    <w:p>
      <w:pPr>
        <w:pStyle w:val="3"/>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若被检产品明示的质量要求低于本细则中检验项目依据的强制性标准要求时，应按照强制性标准要求判定。</w:t>
      </w:r>
    </w:p>
    <w:p>
      <w:pPr>
        <w:pStyle w:val="3"/>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若被检产品明示的质量要求低于或包含本细则中检验项目依据的推荐性标准要求时，应以被检产品明示的质量要求判定。</w:t>
      </w:r>
    </w:p>
    <w:p>
      <w:pPr>
        <w:pStyle w:val="3"/>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若被检产品明示的质量要求缺少本细则中检验项目依据的强制性标准要求时，应按照强制性标准要求判定。</w:t>
      </w:r>
    </w:p>
    <w:p>
      <w:pPr>
        <w:pStyle w:val="3"/>
        <w:widowControl/>
        <w:shd w:val="clear" w:color="auto" w:fill="FFFFFF"/>
        <w:spacing w:beforeAutospacing="0" w:afterAutospacing="0"/>
        <w:ind w:right="45" w:firstLine="640" w:firstLineChars="200"/>
      </w:pPr>
      <w:r>
        <w:rPr>
          <w:rFonts w:hint="eastAsia" w:ascii="仿宋_GB2312" w:hAnsi="仿宋_GB2312" w:eastAsia="仿宋_GB2312" w:cs="仿宋_GB2312"/>
          <w:color w:val="000000"/>
          <w:sz w:val="32"/>
          <w:szCs w:val="32"/>
          <w:shd w:val="clear" w:color="auto" w:fill="FFFFFF"/>
        </w:rPr>
        <w:t>若被检产品明示的质量要求缺少本细则中检验项目依据的推荐性标准要求时，该项目不参与判定，但应在检验报告备注中进行说明。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none"/>
      <w:suff w:val="nothing"/>
      <w:lvlText w:val="%1"/>
      <w:lvlJc w:val="left"/>
      <w:rPr>
        <w:rFonts w:hint="default" w:ascii="Times New Roman" w:hAnsi="Times New Roman" w:cs="Times New Roman"/>
        <w:b/>
        <w:bCs/>
        <w:i w:val="0"/>
        <w:iCs w:val="0"/>
        <w:sz w:val="21"/>
        <w:szCs w:val="21"/>
      </w:rPr>
    </w:lvl>
    <w:lvl w:ilvl="1" w:tentative="0">
      <w:start w:val="1"/>
      <w:numFmt w:val="decimal"/>
      <w:pStyle w:val="6"/>
      <w:suff w:val="nothing"/>
      <w:lvlText w:val="%1%2　"/>
      <w:lvlJc w:val="left"/>
      <w:rPr>
        <w:rFonts w:hint="eastAsia" w:ascii="??_GB2312" w:hAnsi="Times New Roman" w:eastAsia="Times New Roman"/>
        <w:b w:val="0"/>
        <w:bCs w:val="0"/>
        <w:i w:val="0"/>
        <w:iCs w:val="0"/>
        <w:sz w:val="28"/>
        <w:szCs w:val="28"/>
      </w:rPr>
    </w:lvl>
    <w:lvl w:ilvl="2" w:tentative="0">
      <w:start w:val="1"/>
      <w:numFmt w:val="decimal"/>
      <w:suff w:val="nothing"/>
      <w:lvlText w:val="%1%2.%3　"/>
      <w:lvlJc w:val="left"/>
      <w:pPr>
        <w:ind w:left="710"/>
      </w:pPr>
      <w:rPr>
        <w:rFonts w:hint="eastAsia" w:ascii="??_GB2312" w:hAnsi="Times New Roman" w:eastAsia="Times New Roman"/>
        <w:b w:val="0"/>
        <w:bCs w:val="0"/>
        <w:i w:val="0"/>
        <w:iCs w:val="0"/>
        <w:sz w:val="28"/>
        <w:szCs w:val="28"/>
      </w:rPr>
    </w:lvl>
    <w:lvl w:ilvl="3" w:tentative="0">
      <w:start w:val="1"/>
      <w:numFmt w:val="decimal"/>
      <w:suff w:val="nothing"/>
      <w:lvlText w:val="%1%2.3.%4　"/>
      <w:lvlJc w:val="left"/>
      <w:pPr>
        <w:ind w:left="993"/>
      </w:pPr>
      <w:rPr>
        <w:rFonts w:hint="eastAsia" w:ascii="??_GB2312" w:hAnsi="Times New Roman" w:eastAsia="Times New Roman"/>
        <w:b w:val="0"/>
        <w:bCs w:val="0"/>
        <w:i w:val="0"/>
        <w:iCs w:val="0"/>
        <w:sz w:val="28"/>
        <w:szCs w:val="28"/>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420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07B55"/>
    <w:rsid w:val="12977FCF"/>
    <w:rsid w:val="12F82BC8"/>
    <w:rsid w:val="15D71630"/>
    <w:rsid w:val="28E07B55"/>
    <w:rsid w:val="6B4C1A0D"/>
    <w:rsid w:val="73A11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alloon Text"/>
    <w:basedOn w:val="1"/>
    <w:semiHidden/>
    <w:qFormat/>
    <w:uiPriority w:val="99"/>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章标题"/>
    <w:next w:val="1"/>
    <w:qFormat/>
    <w:uiPriority w:val="99"/>
    <w:pPr>
      <w:numPr>
        <w:ilvl w:val="1"/>
        <w:numId w:val="1"/>
      </w:numPr>
      <w:spacing w:beforeLines="50" w:afterLines="50"/>
      <w:jc w:val="both"/>
      <w:outlineLvl w:val="1"/>
    </w:pPr>
    <w:rPr>
      <w:rFonts w:ascii="黑体" w:hAnsi="Calibri" w:eastAsia="黑体" w:cs="黑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2020-08-13T09:01:00Z</dcterms:created>
  <dc:creator>徐立君</dc:creator>
  <cp:lastModifiedBy>王鑫</cp:lastModifiedBy>
  <dcterms:modified xsi:type="dcterms:W3CDTF">2021-03-15T01:43:39Z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