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cs="方正小标宋简体" w:asciiTheme="minorEastAsia" w:hAnsiTheme="minorEastAsia"/>
          <w:b/>
          <w:color w:val="333333"/>
          <w:sz w:val="32"/>
          <w:szCs w:val="32"/>
          <w:shd w:val="clear" w:color="auto" w:fill="FFFFFF"/>
          <w:lang w:val="en-US" w:eastAsia="zh-CN"/>
        </w:rPr>
        <w:t>黑龙江省床上用品产品质量省级监督抽查实施细则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仿宋" w:hAnsi="仿宋" w:eastAsia="仿宋" w:cs="仿宋"/>
          <w:sz w:val="32"/>
          <w:szCs w:val="32"/>
          <w:lang w:val="en-US" w:eastAsia="zh-CN"/>
        </w:rPr>
      </w:pPr>
      <w:bookmarkStart w:id="0" w:name="_GoBack"/>
      <w:bookmarkEnd w:id="0"/>
    </w:p>
    <w:p>
      <w:pPr>
        <w:adjustRightInd w:val="0"/>
        <w:snapToGrid w:val="0"/>
        <w:spacing w:line="594" w:lineRule="exact"/>
        <w:jc w:val="center"/>
        <w:rPr>
          <w:rFonts w:hint="eastAsia" w:eastAsia="仿宋_GB2312" w:cs="仿宋" w:asciiTheme="minorEastAsia" w:hAnsiTheme="minorEastAsia"/>
          <w:kern w:val="0"/>
          <w:sz w:val="32"/>
          <w:szCs w:val="28"/>
          <w:shd w:val="clear" w:color="auto" w:fill="FFFFFF"/>
          <w:lang w:val="en-US" w:eastAsia="zh-CN" w:bidi="ar"/>
        </w:rPr>
      </w:pP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1 抽样方法</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以随机抽样的方式在被抽样生产者、销售者的待销产品中抽取。</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随机数一般可使用随机数表等方法产生。</w:t>
      </w:r>
    </w:p>
    <w:p>
      <w:pPr>
        <w:pStyle w:val="2"/>
        <w:widowControl/>
        <w:spacing w:beforeAutospacing="0" w:afterAutospacing="0"/>
        <w:ind w:firstLine="640" w:firstLineChars="200"/>
        <w:jc w:val="center"/>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抽取样品数量表</w:t>
      </w:r>
    </w:p>
    <w:tbl>
      <w:tblPr>
        <w:tblStyle w:val="4"/>
        <w:tblW w:w="8648" w:type="dxa"/>
        <w:jc w:val="center"/>
        <w:tblInd w:w="636" w:type="dxa"/>
        <w:tblBorders>
          <w:top w:val="single" w:color="000000" w:sz="6" w:space="0"/>
          <w:left w:val="single" w:color="000000" w:sz="6" w:space="0"/>
          <w:bottom w:val="none" w:color="auto" w:sz="0" w:space="0"/>
          <w:right w:val="single" w:color="000000" w:sz="6"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189"/>
        <w:gridCol w:w="1950"/>
        <w:gridCol w:w="1339"/>
        <w:gridCol w:w="1757"/>
        <w:gridCol w:w="1706"/>
      </w:tblGrid>
      <w:tr>
        <w:tblPrEx>
          <w:tblBorders>
            <w:top w:val="single" w:color="000000" w:sz="6" w:space="0"/>
            <w:left w:val="single" w:color="000000" w:sz="6" w:space="0"/>
            <w:bottom w:val="none" w:color="auto" w:sz="0" w:space="0"/>
            <w:right w:val="single" w:color="000000" w:sz="6"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70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序号</w:t>
            </w:r>
          </w:p>
        </w:tc>
        <w:tc>
          <w:tcPr>
            <w:tcW w:w="3139"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产品种类</w:t>
            </w:r>
          </w:p>
        </w:tc>
        <w:tc>
          <w:tcPr>
            <w:tcW w:w="133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抽样数量</w:t>
            </w:r>
          </w:p>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（条/套/个）</w:t>
            </w:r>
          </w:p>
        </w:tc>
        <w:tc>
          <w:tcPr>
            <w:tcW w:w="175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检验样品数量</w:t>
            </w:r>
          </w:p>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（条/套/个）</w:t>
            </w:r>
          </w:p>
        </w:tc>
        <w:tc>
          <w:tcPr>
            <w:tcW w:w="170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备用样品数量</w:t>
            </w:r>
          </w:p>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（条/套/个）</w:t>
            </w:r>
          </w:p>
        </w:tc>
      </w:tr>
      <w:tr>
        <w:tblPrEx>
          <w:tblBorders>
            <w:top w:val="single" w:color="000000" w:sz="6" w:space="0"/>
            <w:left w:val="single" w:color="000000" w:sz="6" w:space="0"/>
            <w:bottom w:val="none" w:color="auto" w:sz="0" w:space="0"/>
            <w:right w:val="single" w:color="000000" w:sz="6"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707" w:type="dxa"/>
            <w:vMerge w:val="restart"/>
            <w:tcBorders>
              <w:top w:val="single" w:color="auto" w:sz="4" w:space="0"/>
              <w:left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w:t>
            </w:r>
          </w:p>
        </w:tc>
        <w:tc>
          <w:tcPr>
            <w:tcW w:w="1189" w:type="dxa"/>
            <w:vMerge w:val="restar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无填充物床上用品</w:t>
            </w:r>
          </w:p>
        </w:tc>
        <w:tc>
          <w:tcPr>
            <w:tcW w:w="19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床单、被套、床罩</w:t>
            </w:r>
          </w:p>
        </w:tc>
        <w:tc>
          <w:tcPr>
            <w:tcW w:w="133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2</w:t>
            </w:r>
          </w:p>
        </w:tc>
        <w:tc>
          <w:tcPr>
            <w:tcW w:w="175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w:t>
            </w:r>
          </w:p>
        </w:tc>
        <w:tc>
          <w:tcPr>
            <w:tcW w:w="170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w:t>
            </w:r>
          </w:p>
        </w:tc>
      </w:tr>
      <w:tr>
        <w:tblPrEx>
          <w:tblBorders>
            <w:top w:val="single" w:color="000000" w:sz="6" w:space="0"/>
            <w:left w:val="single" w:color="000000" w:sz="6" w:space="0"/>
            <w:bottom w:val="none" w:color="auto" w:sz="0" w:space="0"/>
            <w:right w:val="single" w:color="000000" w:sz="6"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707" w:type="dxa"/>
            <w:vMerge w:val="continue"/>
            <w:tcBorders>
              <w:left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center"/>
              <w:textAlignment w:val="auto"/>
              <w:outlineLvl w:val="9"/>
              <w:rPr>
                <w:rFonts w:hint="eastAsia" w:ascii="仿宋_GB2312" w:hAnsi="仿宋_GB2312" w:eastAsia="仿宋_GB2312" w:cs="仿宋_GB2312"/>
                <w:sz w:val="28"/>
                <w:szCs w:val="28"/>
                <w:shd w:val="clear" w:color="auto" w:fill="FFFFFF"/>
                <w:lang w:val="en-US" w:eastAsia="zh-CN"/>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枕套</w:t>
            </w:r>
          </w:p>
        </w:tc>
        <w:tc>
          <w:tcPr>
            <w:tcW w:w="133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3</w:t>
            </w:r>
          </w:p>
        </w:tc>
        <w:tc>
          <w:tcPr>
            <w:tcW w:w="175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2</w:t>
            </w:r>
          </w:p>
        </w:tc>
        <w:tc>
          <w:tcPr>
            <w:tcW w:w="170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w:t>
            </w:r>
          </w:p>
        </w:tc>
      </w:tr>
      <w:tr>
        <w:tblPrEx>
          <w:tblBorders>
            <w:top w:val="single" w:color="000000" w:sz="6" w:space="0"/>
            <w:left w:val="single" w:color="000000" w:sz="6" w:space="0"/>
            <w:bottom w:val="none" w:color="auto" w:sz="0" w:space="0"/>
            <w:right w:val="single" w:color="000000" w:sz="6"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707" w:type="dxa"/>
            <w:vMerge w:val="continue"/>
            <w:tcBorders>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center"/>
              <w:textAlignment w:val="auto"/>
              <w:outlineLvl w:val="9"/>
              <w:rPr>
                <w:rFonts w:hint="eastAsia" w:ascii="仿宋_GB2312" w:hAnsi="仿宋_GB2312" w:eastAsia="仿宋_GB2312" w:cs="仿宋_GB2312"/>
                <w:sz w:val="28"/>
                <w:szCs w:val="28"/>
                <w:shd w:val="clear" w:color="auto" w:fill="FFFFFF"/>
                <w:lang w:val="en-US" w:eastAsia="zh-CN"/>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配套床上用品</w:t>
            </w:r>
          </w:p>
        </w:tc>
        <w:tc>
          <w:tcPr>
            <w:tcW w:w="133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2</w:t>
            </w:r>
          </w:p>
        </w:tc>
        <w:tc>
          <w:tcPr>
            <w:tcW w:w="175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w:t>
            </w:r>
          </w:p>
        </w:tc>
        <w:tc>
          <w:tcPr>
            <w:tcW w:w="170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w:t>
            </w:r>
          </w:p>
        </w:tc>
      </w:tr>
      <w:tr>
        <w:tblPrEx>
          <w:tblBorders>
            <w:top w:val="single" w:color="000000" w:sz="6" w:space="0"/>
            <w:left w:val="single" w:color="000000" w:sz="6" w:space="0"/>
            <w:bottom w:val="none" w:color="auto" w:sz="0" w:space="0"/>
            <w:right w:val="single" w:color="000000" w:sz="6"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707" w:type="dxa"/>
            <w:vMerge w:val="restart"/>
            <w:tcBorders>
              <w:top w:val="single" w:color="auto" w:sz="4" w:space="0"/>
              <w:left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center"/>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2</w:t>
            </w:r>
          </w:p>
        </w:tc>
        <w:tc>
          <w:tcPr>
            <w:tcW w:w="1189" w:type="dxa"/>
            <w:vMerge w:val="restar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有填充物床上用品</w:t>
            </w:r>
          </w:p>
        </w:tc>
        <w:tc>
          <w:tcPr>
            <w:tcW w:w="19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绗缝制品</w:t>
            </w:r>
          </w:p>
        </w:tc>
        <w:tc>
          <w:tcPr>
            <w:tcW w:w="133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2</w:t>
            </w:r>
          </w:p>
        </w:tc>
        <w:tc>
          <w:tcPr>
            <w:tcW w:w="175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w:t>
            </w:r>
          </w:p>
        </w:tc>
        <w:tc>
          <w:tcPr>
            <w:tcW w:w="170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w:t>
            </w:r>
          </w:p>
        </w:tc>
      </w:tr>
      <w:tr>
        <w:tblPrEx>
          <w:tblBorders>
            <w:top w:val="single" w:color="000000" w:sz="6" w:space="0"/>
            <w:left w:val="single" w:color="000000" w:sz="6" w:space="0"/>
            <w:bottom w:val="none" w:color="auto" w:sz="0" w:space="0"/>
            <w:right w:val="single" w:color="000000" w:sz="6" w:space="0"/>
            <w:insideH w:val="single" w:color="000000" w:sz="2" w:space="0"/>
            <w:insideV w:val="single" w:color="000000" w:sz="2" w:space="0"/>
          </w:tblBorders>
          <w:tblLayout w:type="fixed"/>
          <w:tblCellMar>
            <w:top w:w="0" w:type="dxa"/>
            <w:left w:w="0" w:type="dxa"/>
            <w:bottom w:w="0" w:type="dxa"/>
            <w:right w:w="0" w:type="dxa"/>
          </w:tblCellMar>
        </w:tblPrEx>
        <w:trPr>
          <w:jc w:val="center"/>
        </w:trPr>
        <w:tc>
          <w:tcPr>
            <w:tcW w:w="707" w:type="dxa"/>
            <w:vMerge w:val="continue"/>
            <w:tcBorders>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枕、靠垫类产品</w:t>
            </w:r>
          </w:p>
        </w:tc>
        <w:tc>
          <w:tcPr>
            <w:tcW w:w="133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3</w:t>
            </w:r>
          </w:p>
        </w:tc>
        <w:tc>
          <w:tcPr>
            <w:tcW w:w="175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2</w:t>
            </w:r>
          </w:p>
        </w:tc>
        <w:tc>
          <w:tcPr>
            <w:tcW w:w="170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0" w:lineRule="atLeast"/>
              <w:ind w:firstLine="560" w:firstLineChars="20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1</w:t>
            </w:r>
          </w:p>
        </w:tc>
      </w:tr>
    </w:tbl>
    <w:p>
      <w:pPr>
        <w:pStyle w:val="2"/>
        <w:widowControl/>
        <w:spacing w:beforeAutospacing="0" w:afterAutospacing="0"/>
        <w:ind w:firstLine="48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24"/>
          <w:szCs w:val="24"/>
          <w:shd w:val="clear" w:color="auto" w:fill="FFFFFF"/>
          <w:lang w:val="en-US" w:eastAsia="zh-CN"/>
        </w:rPr>
        <w:t>注：如样品面积过小，可适当增加抽样数量，不得超过检验、复检的合理需要。</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在流通领域（市场）抽样的，抽样基数满足抽样数量即可。</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2 检验依据</w:t>
      </w: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lang w:val="en-US" w:eastAsia="zh-CN"/>
        </w:rPr>
      </w:pPr>
    </w:p>
    <w:tbl>
      <w:tblPr>
        <w:tblStyle w:val="4"/>
        <w:tblW w:w="84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3897"/>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1182"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897"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3416"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182"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8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甲醛含量</w:t>
            </w:r>
          </w:p>
        </w:tc>
        <w:tc>
          <w:tcPr>
            <w:tcW w:w="34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182"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8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pH值</w:t>
            </w:r>
          </w:p>
        </w:tc>
        <w:tc>
          <w:tcPr>
            <w:tcW w:w="34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182"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8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可分解致癌芳香胺染料</w:t>
            </w:r>
          </w:p>
        </w:tc>
        <w:tc>
          <w:tcPr>
            <w:tcW w:w="34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17592-2011</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182"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8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耐水色牢度</w:t>
            </w:r>
          </w:p>
        </w:tc>
        <w:tc>
          <w:tcPr>
            <w:tcW w:w="34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182"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8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耐酸汗渍色牢度</w:t>
            </w:r>
          </w:p>
        </w:tc>
        <w:tc>
          <w:tcPr>
            <w:tcW w:w="34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182"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8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耐碱汗渍色牢度</w:t>
            </w:r>
          </w:p>
        </w:tc>
        <w:tc>
          <w:tcPr>
            <w:tcW w:w="34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182"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8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耐干摩擦色牢度</w:t>
            </w:r>
          </w:p>
        </w:tc>
        <w:tc>
          <w:tcPr>
            <w:tcW w:w="34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182"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8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耐湿摩擦色牢度</w:t>
            </w:r>
          </w:p>
        </w:tc>
        <w:tc>
          <w:tcPr>
            <w:tcW w:w="34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1182"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897"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纤维含量</w:t>
            </w:r>
          </w:p>
        </w:tc>
        <w:tc>
          <w:tcPr>
            <w:tcW w:w="3416"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01057.1-2007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01057.2-2007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01057.3-2007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01057.4-2007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01057.6-2007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2910.3-2009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2910.4-2009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2910.6-2009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2910.7-2009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2910.8-2009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2910.18-2009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2910.20-2009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2910.22-2009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2910.101-2009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FZ/T 01101-2008</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01026-2017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01095-2002</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30003-2009</w:t>
            </w:r>
          </w:p>
        </w:tc>
      </w:tr>
    </w:tbl>
    <w:p>
      <w:pPr>
        <w:adjustRightInd w:val="0"/>
        <w:snapToGrid w:val="0"/>
        <w:spacing w:line="440" w:lineRule="exact"/>
        <w:ind w:firstLine="417" w:firstLineChars="199"/>
        <w:rPr>
          <w:rFonts w:ascii="Times New Roman" w:hAnsi="Times New Roman"/>
          <w:color w:val="000000"/>
          <w:szCs w:val="21"/>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执行企业标准、团体标准、地方标准的产品，检验项目参照上述内容执行。</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lang w:val="en-US" w:eastAsia="zh-CN"/>
        </w:rPr>
      </w:pP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3 判定规则</w:t>
      </w:r>
    </w:p>
    <w:p>
      <w:pPr>
        <w:pStyle w:val="2"/>
        <w:widowControl/>
        <w:spacing w:beforeAutospacing="0" w:afterAutospacing="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3.1依据标准</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GB/T 22796-2009 被、被套</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GB/T 22797-2009 床单</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GB/T 22843-2009 枕、垫类产品</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FZ/T 81005-2017 绗缝制品</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GB/T 22844-2009 配套床上用品</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GB 18401-2010 国家纺织产品基本安全技术规范</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GB/T 29862-2013 纺织品 纤维含量的标识</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现行有效的企业标准、团体标准、地方标准及产品明示质量要求</w:t>
      </w:r>
    </w:p>
    <w:p>
      <w:pPr>
        <w:pStyle w:val="2"/>
        <w:widowControl/>
        <w:spacing w:beforeAutospacing="0" w:afterAutospacing="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3.2判定原则</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根据GB/T 22796-2009、GB/T 22797-2009、GB/T 22843-2009 、FZ/T 81005-2017 、GB/T 22844-2009、GB 18401-2010、GB/T 29862-2013 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若被检产品明示的质量要求高于本细则中检验项目依据的标准要求时，应按被检产品明示的质量要求判定。</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若被检产品明示的质量要求低于本细则中检验项目依据的强制性标准要求时，应按照强制性标准要求判定。</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若被检产品明示的质量要求低于或包含本细则中检验项目依据的推荐性标准要求时，应以被检产品明示的质量要求判定。</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若被检产品明示的质量要求缺少本细则中检验项目依据的强制性标准要求时，应按照强制性标准要求判定。</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35E17"/>
    <w:rsid w:val="11DD091E"/>
    <w:rsid w:val="12160722"/>
    <w:rsid w:val="31A35E17"/>
    <w:rsid w:val="4F120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2020-08-13T08:47:00Z</dcterms:created>
  <dc:creator>徐立君</dc:creator>
  <cp:lastModifiedBy>王鑫</cp:lastModifiedBy>
  <dcterms:modified xsi:type="dcterms:W3CDTF">2021-03-15T01:41:15Z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