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ascii="黑体" w:hAnsi="黑体" w:eastAsia="黑体" w:cs="黑体"/>
          <w:color w:val="000000"/>
          <w:sz w:val="32"/>
          <w:szCs w:val="32"/>
          <w:lang w:val="en-US" w:eastAsia="zh-CN"/>
        </w:rPr>
        <w:t>黑龙江省电热水壶养生壶产品质量省级监督抽查实施细则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tabs>
          <w:tab w:val="left" w:pos="676"/>
          <w:tab w:val="center" w:pos="4213"/>
        </w:tabs>
        <w:jc w:val="center"/>
        <w:rPr>
          <w:rFonts w:hint="eastAsia" w:ascii="黑体" w:hAnsi="黑体" w:eastAsia="黑体" w:cs="黑体"/>
          <w:color w:val="000000"/>
          <w:sz w:val="32"/>
          <w:szCs w:val="32"/>
          <w:lang w:val="en-US" w:eastAsia="zh-CN"/>
        </w:rPr>
      </w:pPr>
      <w:bookmarkStart w:id="0" w:name="_GoBack"/>
      <w:bookmarkEnd w:id="0"/>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1 抽样方法</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以随机抽样的方式在被抽样生产者、销售者的待销产品中抽取。</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随机数一般可使用随机数表等方法产生。</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每批次产品抽取样品</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台，其中</w:t>
      </w: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台作为检验样品，1台作为备用样品。</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ab/>
      </w: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2 检验依据</w:t>
      </w: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rPr>
      </w:pPr>
    </w:p>
    <w:tbl>
      <w:tblPr>
        <w:tblStyle w:val="4"/>
        <w:tblW w:w="8411" w:type="dxa"/>
        <w:jc w:val="center"/>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3618"/>
        <w:gridCol w:w="3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tblHeader/>
          <w:jc w:val="center"/>
        </w:trPr>
        <w:tc>
          <w:tcPr>
            <w:tcW w:w="890" w:type="dxa"/>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618" w:type="dxa"/>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检验项目</w:t>
            </w:r>
          </w:p>
        </w:tc>
        <w:tc>
          <w:tcPr>
            <w:tcW w:w="3903" w:type="dxa"/>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jc w:val="center"/>
        </w:trPr>
        <w:tc>
          <w:tcPr>
            <w:tcW w:w="890" w:type="dxa"/>
            <w:vAlign w:val="center"/>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618" w:type="dxa"/>
            <w:vAlign w:val="center"/>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对触及带电部件的防护</w:t>
            </w:r>
          </w:p>
        </w:tc>
        <w:tc>
          <w:tcPr>
            <w:tcW w:w="3903" w:type="dxa"/>
            <w:vAlign w:val="center"/>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GB4706.1-2005</w:t>
            </w:r>
          </w:p>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0" w:type="dxa"/>
            <w:vAlign w:val="center"/>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618" w:type="dxa"/>
            <w:vAlign w:val="center"/>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输入功率和电流</w:t>
            </w:r>
          </w:p>
        </w:tc>
        <w:tc>
          <w:tcPr>
            <w:tcW w:w="3903" w:type="dxa"/>
            <w:vAlign w:val="center"/>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GB4706.1-2005</w:t>
            </w:r>
          </w:p>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0" w:type="dxa"/>
            <w:vAlign w:val="center"/>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618" w:type="dxa"/>
            <w:vAlign w:val="center"/>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工作温度下的泄漏电流和电气强度</w:t>
            </w:r>
          </w:p>
        </w:tc>
        <w:tc>
          <w:tcPr>
            <w:tcW w:w="3903" w:type="dxa"/>
            <w:vAlign w:val="center"/>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GB4706.1-2005</w:t>
            </w:r>
          </w:p>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0" w:type="dxa"/>
            <w:vAlign w:val="center"/>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3618" w:type="dxa"/>
            <w:vAlign w:val="center"/>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非正常工作</w:t>
            </w:r>
          </w:p>
        </w:tc>
        <w:tc>
          <w:tcPr>
            <w:tcW w:w="3903" w:type="dxa"/>
            <w:vAlign w:val="center"/>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GB4706.1-2005</w:t>
            </w:r>
          </w:p>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0" w:type="dxa"/>
            <w:vAlign w:val="center"/>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3618" w:type="dxa"/>
            <w:vAlign w:val="center"/>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稳定性和机械危险</w:t>
            </w:r>
          </w:p>
        </w:tc>
        <w:tc>
          <w:tcPr>
            <w:tcW w:w="3903" w:type="dxa"/>
            <w:vAlign w:val="center"/>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GB4706.1-2005</w:t>
            </w:r>
          </w:p>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0" w:type="dxa"/>
            <w:vAlign w:val="center"/>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3618" w:type="dxa"/>
            <w:vAlign w:val="center"/>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机械强度</w:t>
            </w:r>
          </w:p>
        </w:tc>
        <w:tc>
          <w:tcPr>
            <w:tcW w:w="3903" w:type="dxa"/>
            <w:vAlign w:val="center"/>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GB4706.1-2005</w:t>
            </w:r>
          </w:p>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0" w:type="dxa"/>
            <w:vAlign w:val="center"/>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3618" w:type="dxa"/>
            <w:vAlign w:val="center"/>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结构</w:t>
            </w:r>
          </w:p>
        </w:tc>
        <w:tc>
          <w:tcPr>
            <w:tcW w:w="3903" w:type="dxa"/>
            <w:vAlign w:val="center"/>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GB4706.1-2005</w:t>
            </w:r>
          </w:p>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0" w:type="dxa"/>
            <w:vAlign w:val="center"/>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3618" w:type="dxa"/>
            <w:vAlign w:val="center"/>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内部布线</w:t>
            </w:r>
          </w:p>
        </w:tc>
        <w:tc>
          <w:tcPr>
            <w:tcW w:w="3903" w:type="dxa"/>
            <w:vAlign w:val="center"/>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GB4706.1-2005</w:t>
            </w:r>
          </w:p>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0" w:type="dxa"/>
            <w:vAlign w:val="center"/>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3618" w:type="dxa"/>
            <w:vAlign w:val="center"/>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电源连接和外部软线</w:t>
            </w:r>
          </w:p>
        </w:tc>
        <w:tc>
          <w:tcPr>
            <w:tcW w:w="3903" w:type="dxa"/>
            <w:vAlign w:val="center"/>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GB4706.1-2005</w:t>
            </w:r>
          </w:p>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0" w:type="dxa"/>
            <w:vAlign w:val="center"/>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3618" w:type="dxa"/>
            <w:vAlign w:val="center"/>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防潮</w:t>
            </w:r>
          </w:p>
        </w:tc>
        <w:tc>
          <w:tcPr>
            <w:tcW w:w="3903" w:type="dxa"/>
            <w:vAlign w:val="center"/>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GB4706.1-2005</w:t>
            </w:r>
          </w:p>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0" w:type="dxa"/>
            <w:vAlign w:val="center"/>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3618" w:type="dxa"/>
            <w:vAlign w:val="center"/>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接地措施</w:t>
            </w:r>
          </w:p>
        </w:tc>
        <w:tc>
          <w:tcPr>
            <w:tcW w:w="3903" w:type="dxa"/>
            <w:vAlign w:val="center"/>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GB4706.1-2005</w:t>
            </w:r>
          </w:p>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0" w:type="dxa"/>
            <w:vAlign w:val="center"/>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3618" w:type="dxa"/>
            <w:vAlign w:val="center"/>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耐热和耐燃</w:t>
            </w:r>
          </w:p>
        </w:tc>
        <w:tc>
          <w:tcPr>
            <w:tcW w:w="3903" w:type="dxa"/>
            <w:vAlign w:val="center"/>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GB4706.1-2005</w:t>
            </w:r>
          </w:p>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0" w:type="dxa"/>
            <w:vAlign w:val="center"/>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3618" w:type="dxa"/>
            <w:vAlign w:val="center"/>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螺钉和连接</w:t>
            </w:r>
          </w:p>
        </w:tc>
        <w:tc>
          <w:tcPr>
            <w:tcW w:w="3903" w:type="dxa"/>
            <w:vAlign w:val="center"/>
          </w:tcPr>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GB4706.1-2005</w:t>
            </w:r>
          </w:p>
          <w:p>
            <w:pPr>
              <w:adjustRightInd w:val="0"/>
              <w:snapToGrid w:val="0"/>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GB4706.19-2008</w:t>
            </w:r>
          </w:p>
        </w:tc>
      </w:tr>
    </w:tbl>
    <w:p>
      <w:pPr>
        <w:adjustRightInd w:val="0"/>
        <w:snapToGrid w:val="0"/>
        <w:spacing w:line="440" w:lineRule="exact"/>
        <w:jc w:val="center"/>
        <w:rPr>
          <w:rFonts w:ascii="Times New Roman" w:hAnsi="Times New Roman" w:eastAsia="仿宋"/>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执行企业标准、团体标准、地方标准的产品，检验项目参照上述内容执行。</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凡是注日期的文件，其随后所有的修改单（不包括勘误的内容）或修订版不适用于本细则。凡是不注日期的文件，其最新版本适用于本细则。</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3 判定规则</w:t>
      </w:r>
    </w:p>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3.1依据标准</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GB4706.1-2005 家用和类似用途电器的安全 第1部分 通用要求</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GB 4706.19-2008 家用和类似用途电器的安全液体加热器的特殊要求</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现行有效的企业标准、团体标准、地方标准及产品明示质量要求</w:t>
      </w:r>
    </w:p>
    <w:p>
      <w:pPr>
        <w:pStyle w:val="2"/>
        <w:widowControl/>
        <w:shd w:val="clear" w:color="auto" w:fill="FFFFFF"/>
        <w:spacing w:beforeAutospacing="0" w:afterAutospacing="0"/>
        <w:ind w:right="45"/>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3.2判定原则</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根据</w:t>
      </w:r>
      <w:r>
        <w:rPr>
          <w:rFonts w:hint="eastAsia" w:ascii="仿宋_GB2312" w:hAnsi="仿宋_GB2312" w:eastAsia="仿宋_GB2312" w:cs="仿宋_GB2312"/>
          <w:color w:val="000000"/>
          <w:sz w:val="32"/>
          <w:szCs w:val="32"/>
          <w:shd w:val="clear" w:color="auto" w:fill="FFFFFF"/>
        </w:rPr>
        <w:t xml:space="preserve">GB4706.1-2005 </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GB 4706.19-2008</w:t>
      </w:r>
      <w:r>
        <w:rPr>
          <w:rFonts w:hint="eastAsia" w:ascii="仿宋_GB2312" w:hAnsi="仿宋_GB2312" w:eastAsia="仿宋_GB2312" w:cs="仿宋_GB2312"/>
          <w:color w:val="000000"/>
          <w:sz w:val="32"/>
          <w:szCs w:val="32"/>
          <w:shd w:val="clear" w:color="auto" w:fill="FFFFFF"/>
          <w:lang w:eastAsia="zh-CN"/>
        </w:rPr>
        <w:t>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检验项目全部符合质量要求，表明未发现被抽查产品不合格；参与判定的检验项目中任一项或一项以上不符合质量要求，判定为被抽查产品不合格。</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若被检产品明示的质量要求高于本细则中检验项目依据的标准要求时，应按被检产品明示的质量要求判定。</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若被检产品明示的质量要求低于本细则中检验项目依据的强制性标准要求时，应按照强制性标准要求判定。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若被检产品明示的质量要求低于或包含本细则中检验项目依据的推荐性标准要求时，应以被检产品明示的质量要求判定。</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若被检产品明示的质量要求缺少本细则中检验项目依据的强制性标准要求时，应按照强制性标准要求判定。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若被检产品明示的质量要求缺少本细则中检验项目依据的推荐性标准要求时，该项目不参与判定，但应在检验报告备注中进行说明。</w:t>
      </w:r>
    </w:p>
    <w:p/>
    <w:sectPr>
      <w:pgSz w:w="11906" w:h="16838"/>
      <w:pgMar w:top="1440" w:right="1800" w:bottom="1440" w:left="1800" w:header="851" w:footer="992" w:gutter="0"/>
      <w:cols w:space="0" w:num="1"/>
      <w:rtlGutter w:val="0"/>
      <w:docGrid w:type="linesAndChars" w:linePitch="634" w:charSpace="-1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HorizontalSpacing w:val="160"/>
  <w:drawingGridVerticalSpacing w:val="31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4A7708"/>
    <w:rsid w:val="008A735B"/>
    <w:rsid w:val="07A969F4"/>
    <w:rsid w:val="080258A9"/>
    <w:rsid w:val="1C4A7708"/>
    <w:rsid w:val="798F0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2020-08-13T09:04:00Z</dcterms:created>
  <dc:creator>徐立君</dc:creator>
  <cp:lastModifiedBy>王鑫</cp:lastModifiedBy>
  <dcterms:modified xsi:type="dcterms:W3CDTF">2021-03-15T01:44:04Z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