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999" w:rsidRDefault="00AF3D39">
      <w:pPr>
        <w:framePr w:hSpace="180" w:vSpace="180" w:wrap="around" w:hAnchor="margin" w:y="1" w:anchorLock="1"/>
        <w:jc w:val="left"/>
        <w:textAlignment w:val="center"/>
        <w:rPr>
          <w:rFonts w:ascii="黑体" w:eastAsia="黑体" w:hAnsi="黑体"/>
          <w:kern w:val="0"/>
        </w:rPr>
      </w:pPr>
      <w:r>
        <w:rPr>
          <w:rFonts w:ascii="黑体" w:eastAsia="黑体" w:hAnsi="黑体"/>
          <w:kern w:val="0"/>
        </w:rPr>
        <w:t>ICS</w:t>
      </w:r>
      <w:r>
        <w:rPr>
          <w:rFonts w:ascii="黑体" w:eastAsia="黑体" w:hAnsi="黑体" w:cs="MS Gothic"/>
          <w:spacing w:val="-40"/>
          <w:kern w:val="0"/>
        </w:rPr>
        <w:t xml:space="preserve"> </w:t>
      </w:r>
      <w:r>
        <w:rPr>
          <w:rFonts w:ascii="黑体" w:eastAsia="黑体" w:hAnsi="黑体"/>
          <w:kern w:val="0"/>
        </w:rPr>
        <w:t>65.020.</w:t>
      </w:r>
      <w:r w:rsidR="0008003B">
        <w:rPr>
          <w:rFonts w:ascii="黑体" w:eastAsia="黑体" w:hAnsi="黑体"/>
          <w:kern w:val="0"/>
        </w:rPr>
        <w:t>40</w:t>
      </w:r>
    </w:p>
    <w:p w:rsidR="007B1999" w:rsidRDefault="00AF3D39">
      <w:pPr>
        <w:framePr w:hSpace="180" w:vSpace="180" w:wrap="around" w:hAnchor="margin" w:y="1" w:anchorLock="1"/>
        <w:textAlignment w:val="center"/>
        <w:rPr>
          <w:rFonts w:ascii="黑体" w:eastAsia="黑体" w:hAnsi="黑体"/>
          <w:kern w:val="0"/>
        </w:rPr>
      </w:pPr>
      <w:r>
        <w:rPr>
          <w:rFonts w:ascii="黑体" w:eastAsia="黑体" w:hAnsi="黑体"/>
          <w:kern w:val="0"/>
        </w:rPr>
        <w:t>B</w:t>
      </w:r>
      <w:r>
        <w:rPr>
          <w:rFonts w:ascii="黑体" w:eastAsia="黑体" w:hAnsi="黑体" w:hint="eastAsia"/>
          <w:kern w:val="0"/>
        </w:rPr>
        <w:t xml:space="preserve"> </w:t>
      </w:r>
      <w:r w:rsidR="00C77734">
        <w:rPr>
          <w:rFonts w:ascii="黑体" w:eastAsia="黑体" w:hAnsi="黑体"/>
          <w:kern w:val="0"/>
        </w:rPr>
        <w:t>61</w:t>
      </w:r>
    </w:p>
    <w:p w:rsidR="007B1999" w:rsidRDefault="007B1999">
      <w:pPr>
        <w:framePr w:hSpace="180" w:vSpace="180" w:wrap="around" w:hAnchor="margin" w:y="1" w:anchorLock="1"/>
        <w:jc w:val="left"/>
        <w:textAlignment w:val="center"/>
        <w:rPr>
          <w:rFonts w:ascii="黑体" w:eastAsia="黑体"/>
          <w:kern w:val="0"/>
        </w:rPr>
      </w:pPr>
    </w:p>
    <w:tbl>
      <w:tblPr>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7B1999">
        <w:tc>
          <w:tcPr>
            <w:tcW w:w="9854" w:type="dxa"/>
            <w:tcBorders>
              <w:top w:val="nil"/>
              <w:left w:val="nil"/>
              <w:bottom w:val="nil"/>
              <w:right w:val="nil"/>
            </w:tcBorders>
          </w:tcPr>
          <w:p w:rsidR="007B1999" w:rsidRDefault="00D5467E">
            <w:pPr>
              <w:framePr w:hSpace="180" w:vSpace="180" w:wrap="around" w:hAnchor="margin" w:y="1" w:anchorLock="1"/>
              <w:jc w:val="left"/>
              <w:textAlignment w:val="center"/>
              <w:rPr>
                <w:rFonts w:ascii="黑体" w:eastAsia="黑体"/>
                <w:kern w:val="0"/>
              </w:rPr>
            </w:pPr>
            <w:r>
              <w:pict>
                <v:rect id="_x0000_s1029" alt="" style="position:absolute;margin-left:-5.25pt;margin-top:0;width:68.25pt;height:15.6pt;z-index:-251658240;mso-wrap-edited:f;mso-width-percent:0;mso-height-percent:0;mso-width-percent:0;mso-height-percent:0;mso-width-relative:page;mso-height-relative:page" stroked="f"/>
              </w:pict>
            </w:r>
          </w:p>
        </w:tc>
      </w:tr>
    </w:tbl>
    <w:p w:rsidR="007B1999" w:rsidRDefault="00AF3D39">
      <w:pPr>
        <w:framePr w:w="6101" w:h="1389" w:hRule="exact" w:hSpace="181" w:vSpace="181" w:wrap="around" w:vAnchor="page" w:hAnchor="page" w:x="4673" w:y="942" w:anchorLock="1"/>
        <w:widowControl/>
        <w:shd w:val="solid" w:color="FFFFFF" w:fill="FFFFFF"/>
        <w:spacing w:line="240" w:lineRule="atLeast"/>
        <w:jc w:val="right"/>
        <w:rPr>
          <w:b/>
          <w:bCs/>
          <w:w w:val="130"/>
          <w:kern w:val="0"/>
          <w:sz w:val="96"/>
          <w:szCs w:val="96"/>
        </w:rPr>
      </w:pPr>
      <w:r>
        <w:rPr>
          <w:b/>
          <w:bCs/>
          <w:w w:val="130"/>
          <w:kern w:val="0"/>
          <w:sz w:val="96"/>
          <w:szCs w:val="96"/>
        </w:rPr>
        <w:t>DB23</w:t>
      </w:r>
    </w:p>
    <w:p w:rsidR="007B1999" w:rsidRDefault="00AF3D39">
      <w:pPr>
        <w:framePr w:hSpace="181" w:vSpace="181" w:wrap="around" w:vAnchor="page" w:hAnchor="page" w:x="1419" w:y="2286" w:anchorLock="1"/>
        <w:widowControl/>
        <w:spacing w:line="240" w:lineRule="atLeast"/>
        <w:jc w:val="distribute"/>
        <w:rPr>
          <w:rFonts w:ascii="黑体" w:eastAsia="黑体" w:hAnsi="宋体"/>
          <w:spacing w:val="-40"/>
          <w:kern w:val="0"/>
          <w:sz w:val="48"/>
          <w:szCs w:val="48"/>
        </w:rPr>
      </w:pPr>
      <w:r>
        <w:rPr>
          <w:rFonts w:ascii="黑体" w:eastAsia="黑体" w:hAnsi="宋体" w:cs="黑体" w:hint="eastAsia"/>
          <w:spacing w:val="-40"/>
          <w:kern w:val="0"/>
          <w:sz w:val="48"/>
          <w:szCs w:val="48"/>
        </w:rPr>
        <w:t>黑龙江省地方标准</w:t>
      </w:r>
    </w:p>
    <w:p w:rsidR="007B1999" w:rsidRDefault="00AF3D39">
      <w:pPr>
        <w:pStyle w:val="2"/>
        <w:framePr w:wrap="around"/>
        <w:rPr>
          <w:rFonts w:hAnsi="黑体"/>
        </w:rPr>
      </w:pPr>
      <w:r>
        <w:rPr>
          <w:rFonts w:hAnsi="黑体"/>
        </w:rPr>
        <w:t>DB</w:t>
      </w:r>
      <w:r>
        <w:rPr>
          <w:rFonts w:hAnsi="黑体" w:hint="eastAsia"/>
        </w:rPr>
        <w:t>23</w:t>
      </w:r>
      <w:r>
        <w:rPr>
          <w:rFonts w:hAnsi="黑体"/>
        </w:rPr>
        <w:t>/</w:t>
      </w:r>
      <w:bookmarkStart w:id="0" w:name="StdNo1"/>
      <w:r>
        <w:rPr>
          <w:rFonts w:hAnsi="黑体" w:hint="eastAsia"/>
        </w:rPr>
        <w:t>T</w:t>
      </w:r>
      <w:bookmarkEnd w:id="0"/>
      <w:r>
        <w:rPr>
          <w:rFonts w:hAnsi="黑体" w:cs="MS Gothic"/>
          <w:spacing w:val="-40"/>
        </w:rPr>
        <w:t xml:space="preserve"> </w:t>
      </w:r>
      <w:r>
        <w:rPr>
          <w:rFonts w:hAnsi="黑体" w:cs="黑体" w:hint="eastAsia"/>
        </w:rPr>
        <w:t>XXXX</w:t>
      </w:r>
      <w:r>
        <w:rPr>
          <w:rFonts w:hAnsi="黑体"/>
        </w:rPr>
        <w:t>-</w:t>
      </w:r>
      <w:r>
        <w:rPr>
          <w:rFonts w:hAnsi="黑体" w:cs="黑体" w:hint="eastAsia"/>
        </w:rPr>
        <w:t>XXXX</w:t>
      </w:r>
    </w:p>
    <w:tbl>
      <w:tblPr>
        <w:tblW w:w="93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B1999">
        <w:tc>
          <w:tcPr>
            <w:tcW w:w="9356" w:type="dxa"/>
            <w:tcBorders>
              <w:top w:val="nil"/>
              <w:left w:val="nil"/>
              <w:bottom w:val="nil"/>
              <w:right w:val="nil"/>
            </w:tcBorders>
          </w:tcPr>
          <w:p w:rsidR="007B1999" w:rsidRDefault="007B1999">
            <w:pPr>
              <w:framePr w:w="9140" w:h="1242" w:hRule="exact" w:hSpace="284" w:wrap="around" w:vAnchor="page" w:hAnchor="page" w:x="1645" w:y="2910" w:anchorLock="1"/>
              <w:widowControl/>
              <w:spacing w:before="57" w:line="280" w:lineRule="exact"/>
              <w:jc w:val="right"/>
              <w:rPr>
                <w:rFonts w:ascii="宋体"/>
                <w:kern w:val="0"/>
              </w:rPr>
            </w:pPr>
          </w:p>
        </w:tc>
      </w:tr>
    </w:tbl>
    <w:p w:rsidR="007B1999" w:rsidRDefault="007B1999">
      <w:pPr>
        <w:framePr w:w="9140" w:h="1242" w:hRule="exact" w:hSpace="284" w:wrap="around" w:vAnchor="page" w:hAnchor="page" w:x="1645" w:y="2910" w:anchorLock="1"/>
        <w:widowControl/>
        <w:numPr>
          <w:ilvl w:val="0"/>
          <w:numId w:val="2"/>
        </w:numPr>
        <w:spacing w:before="357" w:line="280" w:lineRule="exact"/>
        <w:jc w:val="right"/>
        <w:rPr>
          <w:rFonts w:ascii="黑体" w:eastAsia="黑体"/>
          <w:kern w:val="0"/>
          <w:sz w:val="28"/>
          <w:szCs w:val="28"/>
        </w:rPr>
      </w:pPr>
    </w:p>
    <w:p w:rsidR="007B1999" w:rsidRDefault="007B1999">
      <w:pPr>
        <w:framePr w:w="9140" w:h="1242" w:hRule="exact" w:hSpace="284" w:wrap="around" w:vAnchor="page" w:hAnchor="page" w:x="1645" w:y="2910" w:anchorLock="1"/>
        <w:widowControl/>
        <w:numPr>
          <w:ilvl w:val="0"/>
          <w:numId w:val="2"/>
        </w:numPr>
        <w:spacing w:before="357" w:line="280" w:lineRule="exact"/>
        <w:jc w:val="right"/>
        <w:rPr>
          <w:rFonts w:ascii="黑体" w:eastAsia="黑体"/>
          <w:kern w:val="0"/>
          <w:sz w:val="28"/>
          <w:szCs w:val="28"/>
        </w:rPr>
      </w:pPr>
    </w:p>
    <w:p w:rsidR="009852D1" w:rsidRDefault="009852D1" w:rsidP="009852D1">
      <w:pPr>
        <w:framePr w:w="9639" w:h="6917" w:hRule="exact" w:wrap="around" w:vAnchor="page" w:hAnchor="page" w:xAlign="center" w:y="6408" w:anchorLock="1"/>
        <w:spacing w:line="680" w:lineRule="exact"/>
        <w:ind w:left="726"/>
        <w:textAlignment w:val="center"/>
        <w:rPr>
          <w:rFonts w:ascii="黑体" w:eastAsia="黑体" w:cs="黑体"/>
          <w:kern w:val="0"/>
          <w:sz w:val="52"/>
          <w:szCs w:val="52"/>
        </w:rPr>
      </w:pPr>
      <w:r w:rsidRPr="00521CDB">
        <w:rPr>
          <w:rFonts w:ascii="黑体" w:eastAsia="黑体" w:cs="黑体" w:hint="eastAsia"/>
          <w:kern w:val="0"/>
          <w:sz w:val="52"/>
          <w:szCs w:val="52"/>
        </w:rPr>
        <w:t>水曲柳2代无性系种子园营建技术规程</w:t>
      </w:r>
    </w:p>
    <w:p w:rsidR="009852D1" w:rsidRDefault="009852D1" w:rsidP="009852D1">
      <w:pPr>
        <w:framePr w:w="9639" w:h="6917" w:hRule="exact" w:wrap="around" w:vAnchor="page" w:hAnchor="page" w:xAlign="center" w:y="6408" w:anchorLock="1"/>
        <w:spacing w:line="680" w:lineRule="exact"/>
        <w:ind w:left="726"/>
        <w:jc w:val="center"/>
        <w:textAlignment w:val="center"/>
        <w:rPr>
          <w:rFonts w:ascii="黑体" w:eastAsia="黑体" w:cs="黑体"/>
          <w:kern w:val="0"/>
          <w:sz w:val="52"/>
          <w:szCs w:val="52"/>
        </w:rPr>
      </w:pPr>
      <w:r>
        <w:rPr>
          <w:rFonts w:ascii="黑体" w:eastAsia="黑体" w:cs="黑体" w:hint="eastAsia"/>
          <w:kern w:val="0"/>
          <w:sz w:val="52"/>
          <w:szCs w:val="52"/>
        </w:rPr>
        <w:t>（征求意见稿）</w:t>
      </w:r>
    </w:p>
    <w:tbl>
      <w:tblPr>
        <w:tblW w:w="101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88"/>
      </w:tblGrid>
      <w:tr w:rsidR="009852D1" w:rsidTr="00D64695">
        <w:trPr>
          <w:trHeight w:val="1295"/>
        </w:trPr>
        <w:tc>
          <w:tcPr>
            <w:tcW w:w="10188" w:type="dxa"/>
            <w:tcBorders>
              <w:top w:val="nil"/>
              <w:left w:val="nil"/>
              <w:bottom w:val="nil"/>
              <w:right w:val="nil"/>
            </w:tcBorders>
          </w:tcPr>
          <w:p w:rsidR="009852D1" w:rsidRDefault="009852D1" w:rsidP="00D64695">
            <w:pPr>
              <w:framePr w:w="9639" w:h="6917" w:hRule="exact" w:wrap="around" w:vAnchor="page" w:hAnchor="page" w:xAlign="center" w:y="6408" w:anchorLock="1"/>
              <w:spacing w:before="440" w:after="160"/>
              <w:jc w:val="center"/>
              <w:textAlignment w:val="center"/>
              <w:rPr>
                <w:rFonts w:ascii="宋体"/>
                <w:kern w:val="0"/>
                <w:sz w:val="24"/>
                <w:szCs w:val="24"/>
              </w:rPr>
            </w:pPr>
          </w:p>
        </w:tc>
      </w:tr>
      <w:tr w:rsidR="009852D1" w:rsidTr="00D64695">
        <w:trPr>
          <w:trHeight w:val="1247"/>
        </w:trPr>
        <w:tc>
          <w:tcPr>
            <w:tcW w:w="10188" w:type="dxa"/>
            <w:tcBorders>
              <w:top w:val="nil"/>
              <w:left w:val="nil"/>
              <w:bottom w:val="nil"/>
              <w:right w:val="nil"/>
            </w:tcBorders>
          </w:tcPr>
          <w:p w:rsidR="009852D1" w:rsidRDefault="009852D1" w:rsidP="00D64695">
            <w:pPr>
              <w:framePr w:w="9639" w:h="6917" w:hRule="exact" w:wrap="around" w:vAnchor="page" w:hAnchor="page" w:xAlign="center" w:y="6408" w:anchorLock="1"/>
              <w:spacing w:before="180" w:after="160" w:line="180" w:lineRule="exact"/>
              <w:jc w:val="center"/>
              <w:textAlignment w:val="center"/>
              <w:rPr>
                <w:rFonts w:ascii="宋体"/>
                <w:kern w:val="0"/>
              </w:rPr>
            </w:pPr>
          </w:p>
          <w:p w:rsidR="009852D1" w:rsidRDefault="009852D1" w:rsidP="00D64695">
            <w:pPr>
              <w:framePr w:w="9639" w:h="6917" w:hRule="exact" w:wrap="around" w:vAnchor="page" w:hAnchor="page" w:xAlign="center" w:y="6408" w:anchorLock="1"/>
              <w:spacing w:before="180" w:after="160" w:line="180" w:lineRule="exact"/>
              <w:jc w:val="center"/>
              <w:textAlignment w:val="center"/>
              <w:rPr>
                <w:kern w:val="0"/>
                <w:sz w:val="28"/>
                <w:szCs w:val="28"/>
              </w:rPr>
            </w:pPr>
            <w:r>
              <w:rPr>
                <w:kern w:val="0"/>
                <w:sz w:val="28"/>
                <w:szCs w:val="28"/>
              </w:rPr>
              <w:t>主要起草单位：东北林业大学</w:t>
            </w:r>
          </w:p>
          <w:p w:rsidR="009852D1" w:rsidRDefault="009852D1" w:rsidP="00D64695">
            <w:pPr>
              <w:framePr w:w="9639" w:h="6917" w:hRule="exact" w:wrap="around" w:vAnchor="page" w:hAnchor="page" w:xAlign="center" w:y="6408" w:anchorLock="1"/>
              <w:spacing w:before="180" w:after="160" w:line="180" w:lineRule="exact"/>
              <w:ind w:firstLineChars="1200" w:firstLine="3360"/>
              <w:textAlignment w:val="center"/>
              <w:rPr>
                <w:kern w:val="0"/>
                <w:sz w:val="28"/>
                <w:szCs w:val="28"/>
              </w:rPr>
            </w:pPr>
            <w:r>
              <w:rPr>
                <w:kern w:val="0"/>
                <w:sz w:val="28"/>
                <w:szCs w:val="28"/>
              </w:rPr>
              <w:t>联</w:t>
            </w:r>
            <w:r>
              <w:rPr>
                <w:rFonts w:hint="eastAsia"/>
                <w:kern w:val="0"/>
                <w:sz w:val="28"/>
                <w:szCs w:val="28"/>
              </w:rPr>
              <w:t xml:space="preserve"> </w:t>
            </w:r>
            <w:r>
              <w:rPr>
                <w:kern w:val="0"/>
                <w:sz w:val="28"/>
                <w:szCs w:val="28"/>
              </w:rPr>
              <w:t>系</w:t>
            </w:r>
            <w:r>
              <w:rPr>
                <w:rFonts w:hint="eastAsia"/>
                <w:kern w:val="0"/>
                <w:sz w:val="28"/>
                <w:szCs w:val="28"/>
              </w:rPr>
              <w:t xml:space="preserve"> </w:t>
            </w:r>
            <w:r>
              <w:rPr>
                <w:kern w:val="0"/>
                <w:sz w:val="28"/>
                <w:szCs w:val="28"/>
              </w:rPr>
              <w:t>人：</w:t>
            </w:r>
            <w:r>
              <w:rPr>
                <w:rFonts w:hint="eastAsia"/>
                <w:kern w:val="0"/>
                <w:sz w:val="28"/>
                <w:szCs w:val="28"/>
              </w:rPr>
              <w:t xml:space="preserve">   </w:t>
            </w:r>
            <w:r>
              <w:rPr>
                <w:rFonts w:hint="eastAsia"/>
                <w:kern w:val="0"/>
                <w:sz w:val="28"/>
                <w:szCs w:val="28"/>
              </w:rPr>
              <w:t>曾凡锁</w:t>
            </w:r>
          </w:p>
          <w:p w:rsidR="009852D1" w:rsidRDefault="009852D1" w:rsidP="00D64695">
            <w:pPr>
              <w:framePr w:w="9639" w:h="6917" w:hRule="exact" w:wrap="around" w:vAnchor="page" w:hAnchor="page" w:xAlign="center" w:y="6408" w:anchorLock="1"/>
              <w:spacing w:before="180" w:after="160" w:line="180" w:lineRule="exact"/>
              <w:ind w:firstLineChars="1200" w:firstLine="3360"/>
              <w:textAlignment w:val="center"/>
              <w:rPr>
                <w:kern w:val="0"/>
                <w:sz w:val="28"/>
                <w:szCs w:val="28"/>
              </w:rPr>
            </w:pPr>
            <w:r>
              <w:rPr>
                <w:kern w:val="0"/>
                <w:sz w:val="28"/>
                <w:szCs w:val="28"/>
              </w:rPr>
              <w:t>联系电话：</w:t>
            </w:r>
            <w:r>
              <w:rPr>
                <w:rFonts w:hint="eastAsia"/>
                <w:kern w:val="0"/>
                <w:sz w:val="28"/>
                <w:szCs w:val="28"/>
              </w:rPr>
              <w:t xml:space="preserve">   </w:t>
            </w:r>
            <w:r>
              <w:rPr>
                <w:kern w:val="0"/>
                <w:sz w:val="28"/>
                <w:szCs w:val="28"/>
              </w:rPr>
              <w:t>13694501997</w:t>
            </w:r>
          </w:p>
          <w:p w:rsidR="009852D1" w:rsidRDefault="009852D1" w:rsidP="00D64695">
            <w:pPr>
              <w:framePr w:w="9639" w:h="6917" w:hRule="exact" w:wrap="around" w:vAnchor="page" w:hAnchor="page" w:xAlign="center" w:y="6408" w:anchorLock="1"/>
              <w:spacing w:before="180" w:after="160" w:line="180" w:lineRule="exact"/>
              <w:jc w:val="left"/>
              <w:textAlignment w:val="center"/>
              <w:rPr>
                <w:rFonts w:ascii="宋体"/>
                <w:kern w:val="0"/>
              </w:rPr>
            </w:pPr>
            <w:r>
              <w:rPr>
                <w:rFonts w:hint="eastAsia"/>
                <w:kern w:val="0"/>
                <w:sz w:val="28"/>
                <w:szCs w:val="28"/>
              </w:rPr>
              <w:t xml:space="preserve"> </w:t>
            </w:r>
            <w:r>
              <w:rPr>
                <w:kern w:val="0"/>
                <w:sz w:val="28"/>
                <w:szCs w:val="28"/>
              </w:rPr>
              <w:t xml:space="preserve">     </w:t>
            </w:r>
            <w:r>
              <w:rPr>
                <w:rFonts w:hint="eastAsia"/>
                <w:kern w:val="0"/>
                <w:sz w:val="28"/>
                <w:szCs w:val="28"/>
              </w:rPr>
              <w:t xml:space="preserve">                  </w:t>
            </w:r>
            <w:r>
              <w:rPr>
                <w:kern w:val="0"/>
                <w:sz w:val="28"/>
                <w:szCs w:val="28"/>
              </w:rPr>
              <w:t>邮</w:t>
            </w:r>
            <w:r>
              <w:rPr>
                <w:kern w:val="0"/>
                <w:sz w:val="28"/>
                <w:szCs w:val="28"/>
              </w:rPr>
              <w:t xml:space="preserve">    </w:t>
            </w:r>
            <w:r>
              <w:rPr>
                <w:kern w:val="0"/>
                <w:sz w:val="28"/>
                <w:szCs w:val="28"/>
              </w:rPr>
              <w:t>箱：</w:t>
            </w:r>
            <w:r>
              <w:rPr>
                <w:rFonts w:hint="eastAsia"/>
                <w:kern w:val="0"/>
                <w:sz w:val="28"/>
                <w:szCs w:val="28"/>
              </w:rPr>
              <w:t xml:space="preserve">   </w:t>
            </w:r>
            <w:r>
              <w:rPr>
                <w:rFonts w:hint="eastAsia"/>
                <w:kern w:val="0"/>
                <w:sz w:val="28"/>
                <w:szCs w:val="28"/>
              </w:rPr>
              <w:t>zengfa</w:t>
            </w:r>
            <w:bookmarkStart w:id="1" w:name="_GoBack"/>
            <w:bookmarkEnd w:id="1"/>
            <w:r>
              <w:rPr>
                <w:rFonts w:hint="eastAsia"/>
                <w:kern w:val="0"/>
                <w:sz w:val="28"/>
                <w:szCs w:val="28"/>
              </w:rPr>
              <w:t>nsuo</w:t>
            </w:r>
            <w:r>
              <w:rPr>
                <w:kern w:val="0"/>
                <w:sz w:val="28"/>
                <w:szCs w:val="28"/>
              </w:rPr>
              <w:t>@126.com</w:t>
            </w:r>
          </w:p>
        </w:tc>
      </w:tr>
    </w:tbl>
    <w:p w:rsidR="007B1999" w:rsidRDefault="00AF3D39">
      <w:pPr>
        <w:framePr w:w="3997" w:h="471" w:hRule="exact" w:vSpace="181" w:wrap="around" w:vAnchor="page" w:hAnchor="page" w:x="1359" w:y="14341" w:anchorLock="1"/>
        <w:widowControl/>
        <w:jc w:val="left"/>
        <w:rPr>
          <w:rFonts w:ascii="黑体" w:eastAsia="黑体" w:hAnsi="黑体"/>
          <w:kern w:val="0"/>
          <w:sz w:val="28"/>
          <w:szCs w:val="28"/>
        </w:rPr>
      </w:pPr>
      <w:r>
        <w:rPr>
          <w:rFonts w:ascii="黑体" w:eastAsia="黑体" w:hAnsi="黑体" w:cs="黑体" w:hint="eastAsia"/>
          <w:kern w:val="0"/>
          <w:sz w:val="28"/>
          <w:szCs w:val="28"/>
        </w:rPr>
        <w:t>XXXX</w:t>
      </w:r>
      <w:r>
        <w:rPr>
          <w:rFonts w:ascii="黑体" w:eastAsia="黑体" w:hAnsi="黑体"/>
          <w:sz w:val="28"/>
          <w:szCs w:val="28"/>
        </w:rPr>
        <w:t>-</w:t>
      </w:r>
      <w:r>
        <w:rPr>
          <w:rFonts w:ascii="黑体" w:eastAsia="黑体" w:hAnsi="黑体" w:cs="黑体" w:hint="eastAsia"/>
          <w:kern w:val="0"/>
          <w:sz w:val="28"/>
          <w:szCs w:val="28"/>
        </w:rPr>
        <w:t>XX</w:t>
      </w:r>
      <w:r>
        <w:rPr>
          <w:rFonts w:ascii="黑体" w:eastAsia="黑体" w:hAnsi="黑体"/>
          <w:sz w:val="28"/>
          <w:szCs w:val="28"/>
        </w:rPr>
        <w:t>-</w:t>
      </w:r>
      <w:r>
        <w:rPr>
          <w:rFonts w:ascii="黑体" w:eastAsia="黑体" w:hAnsi="黑体" w:cs="黑体" w:hint="eastAsia"/>
          <w:kern w:val="0"/>
          <w:sz w:val="28"/>
          <w:szCs w:val="28"/>
        </w:rPr>
        <w:t>XX 发布</w:t>
      </w:r>
      <w:r w:rsidR="00D5467E">
        <w:rPr>
          <w:rFonts w:ascii="黑体" w:eastAsia="黑体" w:hAnsi="黑体"/>
          <w:sz w:val="28"/>
          <w:szCs w:val="28"/>
        </w:rPr>
        <w:pict>
          <v:line id="_x0000_s1028" alt="" style="position:absolute;z-index:251656192;mso-wrap-edited:f;mso-width-percent:0;mso-height-percent:0;mso-position-horizontal-relative:text;mso-position-vertical-relative:page;mso-width-percent:0;mso-height-percent:0;mso-width-relative:page;mso-height-relative:page" from="-2.95pt,742.15pt" to="478.95pt,742.15pt">
            <w10:wrap anchory="page"/>
            <w10:anchorlock/>
          </v:line>
        </w:pict>
      </w:r>
    </w:p>
    <w:p w:rsidR="007B1999" w:rsidRDefault="00AF3D39">
      <w:pPr>
        <w:framePr w:w="3997" w:h="471" w:hRule="exact" w:vSpace="181" w:wrap="around" w:vAnchor="page" w:hAnchor="page" w:x="7052" w:y="14371" w:anchorLock="1"/>
        <w:widowControl/>
        <w:wordWrap w:val="0"/>
        <w:jc w:val="right"/>
        <w:rPr>
          <w:rFonts w:ascii="黑体" w:eastAsia="黑体" w:hAnsi="黑体"/>
          <w:kern w:val="0"/>
          <w:sz w:val="28"/>
          <w:szCs w:val="28"/>
        </w:rPr>
      </w:pPr>
      <w:r>
        <w:rPr>
          <w:rFonts w:ascii="黑体" w:eastAsia="黑体" w:hAnsi="黑体" w:cs="黑体" w:hint="eastAsia"/>
          <w:kern w:val="0"/>
          <w:sz w:val="28"/>
          <w:szCs w:val="28"/>
        </w:rPr>
        <w:t>XXXX</w:t>
      </w:r>
      <w:r>
        <w:rPr>
          <w:rFonts w:ascii="黑体" w:eastAsia="黑体" w:hAnsi="黑体"/>
          <w:sz w:val="28"/>
          <w:szCs w:val="28"/>
        </w:rPr>
        <w:t>-</w:t>
      </w:r>
      <w:r>
        <w:rPr>
          <w:rFonts w:ascii="黑体" w:eastAsia="黑体" w:hAnsi="黑体" w:cs="黑体" w:hint="eastAsia"/>
          <w:kern w:val="0"/>
          <w:sz w:val="28"/>
          <w:szCs w:val="28"/>
        </w:rPr>
        <w:t>XX</w:t>
      </w:r>
      <w:r>
        <w:rPr>
          <w:rFonts w:ascii="黑体" w:eastAsia="黑体" w:hAnsi="黑体"/>
          <w:sz w:val="28"/>
          <w:szCs w:val="28"/>
        </w:rPr>
        <w:t>-</w:t>
      </w:r>
      <w:r>
        <w:rPr>
          <w:rFonts w:ascii="黑体" w:eastAsia="黑体" w:hAnsi="黑体" w:cs="黑体" w:hint="eastAsia"/>
          <w:kern w:val="0"/>
          <w:sz w:val="28"/>
          <w:szCs w:val="28"/>
        </w:rPr>
        <w:t>XX实施</w:t>
      </w:r>
    </w:p>
    <w:p w:rsidR="007B1999" w:rsidRDefault="007B1999">
      <w:pPr>
        <w:framePr w:w="3997" w:h="471" w:hRule="exact" w:vSpace="181" w:wrap="around" w:vAnchor="page" w:hAnchor="page" w:x="7052" w:y="14371" w:anchorLock="1"/>
        <w:widowControl/>
        <w:jc w:val="right"/>
        <w:rPr>
          <w:rFonts w:ascii="黑体" w:eastAsia="黑体" w:hAnsi="黑体"/>
          <w:kern w:val="0"/>
          <w:sz w:val="28"/>
          <w:szCs w:val="28"/>
        </w:rPr>
      </w:pPr>
    </w:p>
    <w:p w:rsidR="007B1999" w:rsidRDefault="00AF3D39">
      <w:pPr>
        <w:pStyle w:val="af9"/>
        <w:framePr w:wrap="around" w:x="2360" w:y="15317"/>
      </w:pPr>
      <w:r>
        <w:rPr>
          <w:rFonts w:ascii="华文中宋" w:eastAsia="华文中宋" w:hAnsi="华文中宋" w:hint="eastAsia"/>
          <w:color w:val="000000"/>
          <w:sz w:val="36"/>
          <w:szCs w:val="36"/>
        </w:rPr>
        <w:t>黑龙江省市场监督管理局</w:t>
      </w:r>
      <w:r>
        <w:rPr>
          <w:rFonts w:ascii="宋体" w:eastAsia="宋体" w:hAnsi="宋体" w:hint="eastAsia"/>
        </w:rPr>
        <w:t xml:space="preserve">  </w:t>
      </w:r>
      <w:r>
        <w:rPr>
          <w:rStyle w:val="af8"/>
          <w:rFonts w:hAnsi="黑体" w:hint="eastAsia"/>
        </w:rPr>
        <w:t>发布</w:t>
      </w:r>
    </w:p>
    <w:p w:rsidR="007B1999" w:rsidRDefault="00D5467E">
      <w:pPr>
        <w:widowControl/>
        <w:tabs>
          <w:tab w:val="center" w:pos="4201"/>
          <w:tab w:val="right" w:leader="dot" w:pos="9298"/>
        </w:tabs>
        <w:autoSpaceDE w:val="0"/>
        <w:autoSpaceDN w:val="0"/>
        <w:jc w:val="center"/>
        <w:rPr>
          <w:rFonts w:ascii="黑体" w:eastAsia="黑体" w:hAnsi="黑体"/>
          <w:kern w:val="0"/>
        </w:rPr>
        <w:sectPr w:rsidR="007B1999">
          <w:footerReference w:type="default" r:id="rId9"/>
          <w:footerReference w:type="first" r:id="rId10"/>
          <w:pgSz w:w="11906" w:h="16838"/>
          <w:pgMar w:top="567" w:right="850" w:bottom="1134" w:left="1418" w:header="0" w:footer="0" w:gutter="0"/>
          <w:pgNumType w:start="1"/>
          <w:cols w:space="425"/>
          <w:titlePg/>
          <w:docGrid w:type="lines" w:linePitch="312"/>
        </w:sectPr>
      </w:pPr>
      <w:r>
        <w:rPr>
          <w:rFonts w:ascii="黑体" w:eastAsia="黑体" w:hAnsi="黑体"/>
          <w:kern w:val="0"/>
        </w:rPr>
        <w:pict>
          <v:line id="直线 5" o:spid="_x0000_s1027" alt="" style="position:absolute;left:0;text-align:left;z-index:251657216;mso-wrap-edited:f;mso-width-percent:0;mso-height-percent:0;mso-width-percent:0;mso-height-percent:0;mso-width-relative:page;mso-height-relative:page" from="-14.2pt,171.6pt" to="477.8pt,171.6pt"/>
        </w:pict>
      </w:r>
    </w:p>
    <w:p w:rsidR="007B1999" w:rsidRDefault="00AF3D39">
      <w:pPr>
        <w:keepNext/>
        <w:pageBreakBefore/>
        <w:widowControl/>
        <w:shd w:val="clear" w:color="FFFFFF" w:fill="FFFFFF"/>
        <w:spacing w:before="640" w:after="560"/>
        <w:jc w:val="center"/>
        <w:outlineLvl w:val="0"/>
        <w:rPr>
          <w:rFonts w:ascii="黑体" w:eastAsia="黑体"/>
          <w:kern w:val="0"/>
          <w:sz w:val="32"/>
          <w:szCs w:val="32"/>
        </w:rPr>
      </w:pPr>
      <w:bookmarkStart w:id="2" w:name="_Toc13752766"/>
      <w:bookmarkStart w:id="3" w:name="_Toc13752342"/>
      <w:bookmarkStart w:id="4" w:name="_Toc378600845"/>
      <w:bookmarkStart w:id="5" w:name="_Toc459733718"/>
      <w:bookmarkStart w:id="6" w:name="_Toc375292823"/>
      <w:bookmarkStart w:id="7" w:name="_Toc269475281"/>
      <w:bookmarkStart w:id="8" w:name="_Toc269475230"/>
      <w:bookmarkStart w:id="9" w:name="_Toc270053815"/>
      <w:bookmarkStart w:id="10" w:name="_Toc269369017"/>
      <w:bookmarkStart w:id="11" w:name="_Toc271617676"/>
      <w:r>
        <w:rPr>
          <w:rFonts w:ascii="黑体" w:eastAsia="黑体" w:cs="黑体" w:hint="eastAsia"/>
          <w:kern w:val="0"/>
          <w:sz w:val="32"/>
          <w:szCs w:val="32"/>
        </w:rPr>
        <w:lastRenderedPageBreak/>
        <w:t>前</w:t>
      </w:r>
      <w:r>
        <w:rPr>
          <w:rFonts w:ascii="黑体" w:eastAsia="黑体"/>
          <w:kern w:val="0"/>
          <w:sz w:val="32"/>
          <w:szCs w:val="32"/>
        </w:rPr>
        <w:t>  </w:t>
      </w:r>
      <w:r>
        <w:rPr>
          <w:rFonts w:ascii="黑体" w:eastAsia="黑体" w:cs="黑体" w:hint="eastAsia"/>
          <w:kern w:val="0"/>
          <w:sz w:val="32"/>
          <w:szCs w:val="32"/>
        </w:rPr>
        <w:t>言</w:t>
      </w:r>
      <w:bookmarkEnd w:id="2"/>
      <w:bookmarkEnd w:id="3"/>
      <w:bookmarkEnd w:id="4"/>
      <w:bookmarkEnd w:id="5"/>
      <w:bookmarkEnd w:id="6"/>
    </w:p>
    <w:p w:rsidR="007B1999" w:rsidRDefault="00AF3D39">
      <w:pPr>
        <w:ind w:firstLine="420"/>
      </w:pPr>
      <w:r>
        <w:rPr>
          <w:rFonts w:cs="宋体" w:hint="eastAsia"/>
        </w:rPr>
        <w:t>本标准依据</w:t>
      </w:r>
      <w:r>
        <w:rPr>
          <w:rFonts w:ascii="宋体" w:hAnsi="宋体"/>
          <w:color w:val="000000"/>
        </w:rPr>
        <w:t>GB/T 1.1-2009的编</w:t>
      </w:r>
      <w:r>
        <w:rPr>
          <w:rFonts w:cs="宋体" w:hint="eastAsia"/>
        </w:rPr>
        <w:t>写规则起草。</w:t>
      </w:r>
    </w:p>
    <w:p w:rsidR="007B1999" w:rsidRDefault="00AF3D39">
      <w:pPr>
        <w:ind w:firstLine="420"/>
      </w:pPr>
      <w:r>
        <w:rPr>
          <w:rFonts w:cs="宋体" w:hint="eastAsia"/>
        </w:rPr>
        <w:t>本标准由黑龙江省林业和草原局提出。</w:t>
      </w:r>
    </w:p>
    <w:p w:rsidR="007B1999" w:rsidRDefault="00AF3D39" w:rsidP="004C491A">
      <w:pPr>
        <w:widowControl/>
        <w:tabs>
          <w:tab w:val="center" w:pos="4201"/>
          <w:tab w:val="right" w:leader="dot" w:pos="9298"/>
        </w:tabs>
        <w:autoSpaceDE w:val="0"/>
        <w:autoSpaceDN w:val="0"/>
        <w:ind w:firstLineChars="200" w:firstLine="420"/>
        <w:rPr>
          <w:rFonts w:ascii="宋体"/>
          <w:kern w:val="0"/>
        </w:rPr>
      </w:pPr>
      <w:r>
        <w:rPr>
          <w:rFonts w:ascii="宋体" w:cs="宋体" w:hint="eastAsia"/>
          <w:kern w:val="0"/>
        </w:rPr>
        <w:t>本标准起草单位：</w:t>
      </w:r>
      <w:r w:rsidR="004C491A">
        <w:rPr>
          <w:rFonts w:hint="eastAsia"/>
        </w:rPr>
        <w:t>东北林业大学、黑龙江省植物园、黑龙江省山河屯林业局、带岭林业科学研究所和黑龙江省苇河林业局。</w:t>
      </w:r>
    </w:p>
    <w:p w:rsidR="007B1999" w:rsidRDefault="00AF3D39">
      <w:pPr>
        <w:ind w:firstLine="420"/>
      </w:pPr>
      <w:r>
        <w:rPr>
          <w:rFonts w:ascii="宋体" w:cs="宋体" w:hint="eastAsia"/>
          <w:kern w:val="0"/>
        </w:rPr>
        <w:t>本标准主要起草人：</w:t>
      </w:r>
      <w:r w:rsidR="004C491A" w:rsidRPr="00A632F9">
        <w:rPr>
          <w:rFonts w:hint="eastAsia"/>
        </w:rPr>
        <w:t>曾凡锁、詹亚光、田红梅、齐凤慧、肖英、刘华岭、张桂芹、闫朝福、赵兴堂、何利明、</w:t>
      </w:r>
      <w:r w:rsidR="003B666C">
        <w:rPr>
          <w:rFonts w:hint="eastAsia"/>
        </w:rPr>
        <w:t>王希刚、</w:t>
      </w:r>
      <w:r w:rsidR="004C491A" w:rsidRPr="00A632F9">
        <w:rPr>
          <w:rFonts w:hint="eastAsia"/>
        </w:rPr>
        <w:t>李国强、陈显锋</w:t>
      </w:r>
      <w:r>
        <w:rPr>
          <w:rFonts w:cs="宋体" w:hint="eastAsia"/>
        </w:rPr>
        <w:t>。</w:t>
      </w:r>
    </w:p>
    <w:p w:rsidR="007B1999" w:rsidRDefault="007B1999">
      <w:pPr>
        <w:ind w:firstLine="420"/>
      </w:pPr>
    </w:p>
    <w:bookmarkEnd w:id="7"/>
    <w:bookmarkEnd w:id="8"/>
    <w:bookmarkEnd w:id="9"/>
    <w:bookmarkEnd w:id="10"/>
    <w:bookmarkEnd w:id="11"/>
    <w:p w:rsidR="007B1999" w:rsidRDefault="007B1999"/>
    <w:p w:rsidR="007B1999" w:rsidRDefault="007B1999"/>
    <w:p w:rsidR="007B1999" w:rsidRDefault="007B1999"/>
    <w:p w:rsidR="007B1999" w:rsidRDefault="007B1999"/>
    <w:p w:rsidR="007B1999" w:rsidRDefault="007B1999"/>
    <w:p w:rsidR="007B1999" w:rsidRDefault="007B1999"/>
    <w:p w:rsidR="007B1999" w:rsidRDefault="007B1999"/>
    <w:p w:rsidR="007B1999" w:rsidRDefault="007B1999"/>
    <w:p w:rsidR="006E36F4" w:rsidRDefault="006E36F4"/>
    <w:p w:rsidR="007B1999" w:rsidRDefault="007B1999"/>
    <w:p w:rsidR="007B1999" w:rsidRDefault="007B1999"/>
    <w:p w:rsidR="007B1999" w:rsidRDefault="007B1999"/>
    <w:p w:rsidR="007B1999" w:rsidRDefault="007B1999"/>
    <w:p w:rsidR="007B1999" w:rsidRDefault="007B1999"/>
    <w:p w:rsidR="00030BC1" w:rsidRDefault="00030BC1"/>
    <w:p w:rsidR="007B1999" w:rsidRDefault="007B1999"/>
    <w:p w:rsidR="007B1999" w:rsidRDefault="007B1999">
      <w:pPr>
        <w:sectPr w:rsidR="007B1999">
          <w:headerReference w:type="default" r:id="rId11"/>
          <w:footerReference w:type="default" r:id="rId12"/>
          <w:headerReference w:type="first" r:id="rId13"/>
          <w:footerReference w:type="first" r:id="rId14"/>
          <w:pgSz w:w="11906" w:h="16838"/>
          <w:pgMar w:top="1440" w:right="1800" w:bottom="1440" w:left="1800" w:header="1134" w:footer="1134" w:gutter="0"/>
          <w:pgNumType w:start="1"/>
          <w:cols w:space="425"/>
          <w:titlePg/>
          <w:docGrid w:type="lines" w:linePitch="312"/>
        </w:sectPr>
      </w:pPr>
    </w:p>
    <w:p w:rsidR="007B1999" w:rsidRDefault="004C491A">
      <w:pPr>
        <w:pStyle w:val="af3"/>
        <w:rPr>
          <w:rFonts w:cs="Times New Roman"/>
        </w:rPr>
      </w:pPr>
      <w:r>
        <w:rPr>
          <w:rFonts w:hint="eastAsia"/>
        </w:rPr>
        <w:lastRenderedPageBreak/>
        <w:t>水曲柳2代无性系种子园营建技术规程</w:t>
      </w:r>
    </w:p>
    <w:p w:rsidR="007B1999" w:rsidRDefault="00AF3D39">
      <w:pPr>
        <w:pStyle w:val="af1"/>
        <w:spacing w:before="312" w:after="312"/>
        <w:rPr>
          <w:rFonts w:hAnsi="黑体"/>
          <w:color w:val="000000"/>
        </w:rPr>
      </w:pPr>
      <w:bookmarkStart w:id="12" w:name="_Toc531450797"/>
      <w:r>
        <w:rPr>
          <w:rFonts w:hAnsi="黑体" w:hint="eastAsia"/>
          <w:color w:val="000000"/>
        </w:rPr>
        <w:t>1</w:t>
      </w:r>
      <w:r>
        <w:rPr>
          <w:rFonts w:hAnsi="黑体"/>
          <w:color w:val="000000"/>
        </w:rPr>
        <w:t xml:space="preserve">  范围</w:t>
      </w:r>
      <w:bookmarkEnd w:id="12"/>
    </w:p>
    <w:p w:rsidR="007B1999" w:rsidRDefault="00AF3D39">
      <w:pPr>
        <w:pStyle w:val="af"/>
        <w:rPr>
          <w:rFonts w:ascii="Times New Roman" w:hAnsi="Calibri"/>
          <w:kern w:val="2"/>
        </w:rPr>
      </w:pPr>
      <w:r>
        <w:rPr>
          <w:rFonts w:ascii="Calibri" w:hAnsi="宋体" w:hint="eastAsia"/>
          <w:kern w:val="2"/>
        </w:rPr>
        <w:t>本标准规定了</w:t>
      </w:r>
      <w:r w:rsidR="00562945">
        <w:rPr>
          <w:rFonts w:ascii="Times New Roman" w:cs="Times New Roman"/>
        </w:rPr>
        <w:t>水曲柳（</w:t>
      </w:r>
      <w:r w:rsidR="00562945">
        <w:rPr>
          <w:rFonts w:ascii="Times New Roman" w:cs="Times New Roman"/>
          <w:i/>
          <w:iCs/>
        </w:rPr>
        <w:t xml:space="preserve">Fraxinus </w:t>
      </w:r>
      <w:proofErr w:type="spellStart"/>
      <w:r w:rsidR="00562945">
        <w:rPr>
          <w:rFonts w:ascii="Times New Roman" w:cs="Times New Roman"/>
          <w:i/>
          <w:iCs/>
        </w:rPr>
        <w:t>mandshurica</w:t>
      </w:r>
      <w:proofErr w:type="spellEnd"/>
      <w:r w:rsidR="00562945">
        <w:rPr>
          <w:rFonts w:ascii="Times New Roman" w:cs="Times New Roman"/>
        </w:rPr>
        <w:t xml:space="preserve"> </w:t>
      </w:r>
      <w:proofErr w:type="spellStart"/>
      <w:r w:rsidR="00562945">
        <w:rPr>
          <w:rFonts w:ascii="Times New Roman" w:cs="Times New Roman"/>
        </w:rPr>
        <w:t>Rupr</w:t>
      </w:r>
      <w:proofErr w:type="spellEnd"/>
      <w:r w:rsidR="00562945">
        <w:rPr>
          <w:rFonts w:ascii="Times New Roman" w:cs="Times New Roman"/>
        </w:rPr>
        <w:t>.</w:t>
      </w:r>
      <w:r w:rsidR="00562945">
        <w:rPr>
          <w:rFonts w:ascii="Times New Roman" w:cs="Times New Roman"/>
        </w:rPr>
        <w:t>）</w:t>
      </w:r>
      <w:r w:rsidR="00562945">
        <w:rPr>
          <w:rFonts w:ascii="Times New Roman" w:cs="Times New Roman"/>
        </w:rPr>
        <w:t>2</w:t>
      </w:r>
      <w:r w:rsidR="00562945">
        <w:rPr>
          <w:rFonts w:ascii="Times New Roman" w:cs="Times New Roman"/>
        </w:rPr>
        <w:t>代无性系</w:t>
      </w:r>
      <w:r w:rsidR="00562945">
        <w:rPr>
          <w:rFonts w:ascii="Times New Roman" w:cs="Times New Roman"/>
          <w:color w:val="000000"/>
        </w:rPr>
        <w:t>种子园</w:t>
      </w:r>
      <w:r w:rsidR="009F01EC">
        <w:rPr>
          <w:rFonts w:ascii="Times New Roman" w:cs="Times New Roman" w:hint="eastAsia"/>
          <w:color w:val="000000"/>
        </w:rPr>
        <w:t>营建</w:t>
      </w:r>
      <w:r w:rsidR="00F30762">
        <w:rPr>
          <w:rFonts w:ascii="Times New Roman" w:cs="Times New Roman" w:hint="eastAsia"/>
          <w:color w:val="000000"/>
        </w:rPr>
        <w:t>的</w:t>
      </w:r>
      <w:r w:rsidR="00711AB0" w:rsidRPr="00711AB0">
        <w:rPr>
          <w:rFonts w:ascii="Times New Roman" w:cs="Times New Roman" w:hint="eastAsia"/>
          <w:color w:val="000000"/>
        </w:rPr>
        <w:t>总体规划</w:t>
      </w:r>
      <w:r w:rsidR="00C77734">
        <w:rPr>
          <w:rFonts w:ascii="Times New Roman" w:cs="Times New Roman" w:hint="eastAsia"/>
          <w:color w:val="000000"/>
        </w:rPr>
        <w:t>与</w:t>
      </w:r>
      <w:r w:rsidR="00711AB0" w:rsidRPr="00711AB0">
        <w:rPr>
          <w:rFonts w:ascii="Times New Roman" w:cs="Times New Roman" w:hint="eastAsia"/>
          <w:color w:val="000000"/>
        </w:rPr>
        <w:t>区划</w:t>
      </w:r>
      <w:r w:rsidR="00711AB0">
        <w:rPr>
          <w:rFonts w:ascii="Times New Roman" w:cs="Times New Roman" w:hint="eastAsia"/>
          <w:color w:val="000000"/>
        </w:rPr>
        <w:t>、</w:t>
      </w:r>
      <w:r w:rsidR="00711AB0" w:rsidRPr="00711AB0">
        <w:rPr>
          <w:rFonts w:ascii="Times New Roman" w:cs="Times New Roman" w:hint="eastAsia"/>
          <w:color w:val="000000"/>
        </w:rPr>
        <w:t>建园材料的繁殖</w:t>
      </w:r>
      <w:r w:rsidR="00711AB0">
        <w:rPr>
          <w:rFonts w:ascii="Times New Roman" w:cs="Times New Roman" w:hint="eastAsia"/>
          <w:color w:val="000000"/>
        </w:rPr>
        <w:t>、</w:t>
      </w:r>
      <w:r w:rsidR="00711AB0">
        <w:rPr>
          <w:rFonts w:cs="Times New Roman" w:hint="eastAsia"/>
          <w:szCs w:val="20"/>
        </w:rPr>
        <w:t>整地、定植与登记、</w:t>
      </w:r>
      <w:r w:rsidR="00711AB0" w:rsidRPr="00711AB0">
        <w:rPr>
          <w:rFonts w:cs="Times New Roman" w:hint="eastAsia"/>
          <w:szCs w:val="20"/>
        </w:rPr>
        <w:t>经营管理</w:t>
      </w:r>
      <w:r w:rsidR="00711AB0">
        <w:rPr>
          <w:rFonts w:cs="Times New Roman" w:hint="eastAsia"/>
          <w:szCs w:val="20"/>
        </w:rPr>
        <w:t>和</w:t>
      </w:r>
      <w:r w:rsidR="00711AB0" w:rsidRPr="00711AB0">
        <w:rPr>
          <w:rFonts w:cs="Times New Roman" w:hint="eastAsia"/>
          <w:szCs w:val="20"/>
        </w:rPr>
        <w:t>生产档案</w:t>
      </w:r>
      <w:r>
        <w:rPr>
          <w:rFonts w:ascii="Times New Roman" w:hAnsi="Calibri" w:hint="eastAsia"/>
          <w:kern w:val="2"/>
        </w:rPr>
        <w:t>。</w:t>
      </w:r>
    </w:p>
    <w:p w:rsidR="007B1999" w:rsidRDefault="00AF3D39">
      <w:pPr>
        <w:pStyle w:val="af"/>
        <w:rPr>
          <w:rFonts w:hAnsi="宋体" w:cs="Times New Roman"/>
          <w:b/>
          <w:bCs/>
        </w:rPr>
      </w:pPr>
      <w:r>
        <w:rPr>
          <w:rFonts w:hAnsi="宋体" w:hint="eastAsia"/>
        </w:rPr>
        <w:t>本标准适用于</w:t>
      </w:r>
      <w:r w:rsidR="00562945">
        <w:rPr>
          <w:rFonts w:ascii="Times New Roman" w:cs="Times New Roman"/>
        </w:rPr>
        <w:t>水曲柳</w:t>
      </w:r>
      <w:r w:rsidR="00562945">
        <w:rPr>
          <w:rFonts w:ascii="Times New Roman" w:cs="Times New Roman"/>
        </w:rPr>
        <w:t>2</w:t>
      </w:r>
      <w:r w:rsidR="00562945">
        <w:rPr>
          <w:rFonts w:ascii="Times New Roman" w:cs="Times New Roman"/>
        </w:rPr>
        <w:t>代</w:t>
      </w:r>
      <w:r w:rsidR="00562945">
        <w:rPr>
          <w:rFonts w:ascii="Times New Roman" w:cs="Times New Roman" w:hint="eastAsia"/>
        </w:rPr>
        <w:t>无性系</w:t>
      </w:r>
      <w:r w:rsidR="00562945">
        <w:rPr>
          <w:rFonts w:ascii="Times New Roman" w:cs="Times New Roman"/>
        </w:rPr>
        <w:t>种子园营建</w:t>
      </w:r>
      <w:r>
        <w:rPr>
          <w:rFonts w:hAnsi="宋体" w:hint="eastAsia"/>
        </w:rPr>
        <w:t>。</w:t>
      </w:r>
    </w:p>
    <w:p w:rsidR="007B1999" w:rsidRDefault="00AF3D39">
      <w:pPr>
        <w:pStyle w:val="af1"/>
        <w:spacing w:before="312" w:after="312"/>
        <w:rPr>
          <w:rFonts w:hAnsi="黑体"/>
          <w:color w:val="000000"/>
        </w:rPr>
      </w:pPr>
      <w:bookmarkStart w:id="13" w:name="_Toc531450798"/>
      <w:r>
        <w:rPr>
          <w:rFonts w:hAnsi="黑体"/>
          <w:color w:val="000000"/>
        </w:rPr>
        <w:t>2</w:t>
      </w:r>
      <w:r>
        <w:rPr>
          <w:rFonts w:hAnsi="黑体" w:hint="eastAsia"/>
          <w:color w:val="000000"/>
        </w:rPr>
        <w:t xml:space="preserve"> </w:t>
      </w:r>
      <w:r>
        <w:rPr>
          <w:rFonts w:hAnsi="黑体"/>
          <w:color w:val="000000"/>
        </w:rPr>
        <w:t xml:space="preserve"> 规范性引用文件</w:t>
      </w:r>
      <w:bookmarkEnd w:id="13"/>
    </w:p>
    <w:p w:rsidR="007B1999" w:rsidRDefault="00AF3D39">
      <w:pPr>
        <w:pStyle w:val="af"/>
      </w:pPr>
      <w:r>
        <w:rPr>
          <w:rFonts w:hint="eastAsia"/>
        </w:rPr>
        <w:t>下列文件对于本文件的应用是必不可少的。凡是注日期的引用文件，仅注日期的版本适用于本文件。凡是不注日期的引用文件，其最新版本（包括所有的修改单）适用于本文件。</w:t>
      </w:r>
    </w:p>
    <w:p w:rsidR="00EC5C3F" w:rsidRPr="00AC0D45" w:rsidRDefault="00AC0D45" w:rsidP="00EC5C3F">
      <w:pPr>
        <w:ind w:firstLineChars="200" w:firstLine="420"/>
        <w:rPr>
          <w:rFonts w:ascii="宋体" w:hAnsi="宋体"/>
          <w:color w:val="000000" w:themeColor="text1"/>
        </w:rPr>
      </w:pPr>
      <w:r w:rsidRPr="00AC0D45">
        <w:rPr>
          <w:rFonts w:ascii="宋体" w:hAnsi="宋体" w:hint="eastAsia"/>
          <w:color w:val="000000" w:themeColor="text1"/>
        </w:rPr>
        <w:t>NY/T 496-2010  肥料合理使用准则 通则</w:t>
      </w:r>
    </w:p>
    <w:p w:rsidR="007B1999" w:rsidRDefault="00D40069">
      <w:pPr>
        <w:ind w:firstLineChars="200" w:firstLine="420"/>
        <w:rPr>
          <w:rFonts w:ascii="宋体" w:hAnsi="宋体"/>
        </w:rPr>
      </w:pPr>
      <w:r w:rsidRPr="00562945">
        <w:rPr>
          <w:rFonts w:ascii="宋体" w:hAnsi="宋体"/>
        </w:rPr>
        <w:t>DB23/T 016-2011</w:t>
      </w:r>
      <w:r>
        <w:rPr>
          <w:rFonts w:ascii="宋体" w:hAnsi="宋体"/>
        </w:rPr>
        <w:t xml:space="preserve"> </w:t>
      </w:r>
      <w:r>
        <w:rPr>
          <w:rFonts w:ascii="宋体" w:hAnsi="宋体" w:hint="eastAsia"/>
        </w:rPr>
        <w:t xml:space="preserve"> </w:t>
      </w:r>
      <w:r w:rsidRPr="00562945">
        <w:rPr>
          <w:rFonts w:ascii="宋体" w:hAnsi="宋体" w:hint="eastAsia"/>
        </w:rPr>
        <w:t>林木良种基地技术档案</w:t>
      </w:r>
    </w:p>
    <w:p w:rsidR="007B1999" w:rsidRDefault="00D40069">
      <w:pPr>
        <w:ind w:firstLineChars="200" w:firstLine="420"/>
        <w:rPr>
          <w:rFonts w:ascii="宋体" w:hAnsi="宋体"/>
        </w:rPr>
      </w:pPr>
      <w:r w:rsidRPr="00562945">
        <w:rPr>
          <w:rFonts w:ascii="宋体" w:hAnsi="宋体"/>
        </w:rPr>
        <w:t>DB23/T 1184-2007</w:t>
      </w:r>
      <w:r>
        <w:rPr>
          <w:rFonts w:ascii="宋体" w:hAnsi="宋体"/>
        </w:rPr>
        <w:t xml:space="preserve"> </w:t>
      </w:r>
      <w:r>
        <w:rPr>
          <w:rFonts w:ascii="宋体" w:hAnsi="宋体" w:hint="eastAsia"/>
        </w:rPr>
        <w:t xml:space="preserve"> </w:t>
      </w:r>
      <w:r w:rsidRPr="00562945">
        <w:rPr>
          <w:rFonts w:ascii="宋体" w:hAnsi="宋体" w:cs="宋体" w:hint="eastAsia"/>
        </w:rPr>
        <w:t>水曲柳无性系种子园营建技术</w:t>
      </w:r>
    </w:p>
    <w:p w:rsidR="007B1999" w:rsidRDefault="002B72FC">
      <w:pPr>
        <w:ind w:firstLineChars="200" w:firstLine="420"/>
        <w:rPr>
          <w:rFonts w:ascii="宋体" w:hAnsi="宋体"/>
        </w:rPr>
      </w:pPr>
      <w:r w:rsidRPr="00562945">
        <w:rPr>
          <w:rFonts w:ascii="宋体" w:hAnsi="宋体"/>
        </w:rPr>
        <w:t>DB23/T 2364-2019</w:t>
      </w:r>
      <w:r>
        <w:rPr>
          <w:rFonts w:ascii="宋体" w:hAnsi="宋体"/>
        </w:rPr>
        <w:t xml:space="preserve"> </w:t>
      </w:r>
      <w:r>
        <w:rPr>
          <w:rFonts w:ascii="宋体" w:hAnsi="宋体" w:hint="eastAsia"/>
        </w:rPr>
        <w:t xml:space="preserve"> </w:t>
      </w:r>
      <w:r w:rsidRPr="00562945">
        <w:rPr>
          <w:rFonts w:ascii="宋体" w:hAnsi="宋体" w:hint="eastAsia"/>
        </w:rPr>
        <w:t>紫椴1</w:t>
      </w:r>
      <w:r>
        <w:rPr>
          <w:rFonts w:ascii="宋体" w:hAnsi="宋体" w:hint="eastAsia"/>
        </w:rPr>
        <w:t>.</w:t>
      </w:r>
      <w:r w:rsidRPr="00562945">
        <w:rPr>
          <w:rFonts w:ascii="宋体" w:hAnsi="宋体" w:hint="eastAsia"/>
        </w:rPr>
        <w:t>5代无性系种子园营建技术规程</w:t>
      </w:r>
    </w:p>
    <w:p w:rsidR="007B1999" w:rsidRDefault="00AF3D39">
      <w:pPr>
        <w:pStyle w:val="af1"/>
        <w:spacing w:before="312" w:after="312"/>
        <w:rPr>
          <w:rFonts w:cs="Times New Roman"/>
          <w:szCs w:val="20"/>
        </w:rPr>
      </w:pPr>
      <w:bookmarkStart w:id="14" w:name="_Toc459733728"/>
      <w:r>
        <w:rPr>
          <w:rFonts w:cs="Times New Roman" w:hint="eastAsia"/>
          <w:szCs w:val="20"/>
        </w:rPr>
        <w:t>3</w:t>
      </w:r>
      <w:r>
        <w:rPr>
          <w:rFonts w:cs="Times New Roman"/>
          <w:szCs w:val="20"/>
        </w:rPr>
        <w:t xml:space="preserve">  </w:t>
      </w:r>
      <w:r w:rsidR="00562945" w:rsidRPr="00562945">
        <w:rPr>
          <w:rFonts w:cs="Times New Roman" w:hint="eastAsia"/>
          <w:szCs w:val="20"/>
        </w:rPr>
        <w:t>总体规划</w:t>
      </w:r>
      <w:r w:rsidR="00C77734">
        <w:rPr>
          <w:rFonts w:cs="Times New Roman" w:hint="eastAsia"/>
          <w:szCs w:val="20"/>
        </w:rPr>
        <w:t>与</w:t>
      </w:r>
      <w:r w:rsidR="00562945" w:rsidRPr="00562945">
        <w:rPr>
          <w:rFonts w:cs="Times New Roman" w:hint="eastAsia"/>
          <w:szCs w:val="20"/>
        </w:rPr>
        <w:t>区划</w:t>
      </w:r>
    </w:p>
    <w:p w:rsidR="00562945" w:rsidRDefault="00562945" w:rsidP="00562945">
      <w:pPr>
        <w:pStyle w:val="af0"/>
        <w:spacing w:before="156" w:after="156"/>
        <w:rPr>
          <w:rFonts w:hAnsi="黑体" w:cs="Times New Roman"/>
          <w:color w:val="000000"/>
          <w:lang w:val="zh-CN"/>
        </w:rPr>
      </w:pPr>
      <w:bookmarkStart w:id="15" w:name="_Toc459733731"/>
      <w:bookmarkEnd w:id="14"/>
      <w:r>
        <w:rPr>
          <w:rFonts w:hAnsi="黑体" w:cs="Times New Roman"/>
          <w:color w:val="000000"/>
          <w:lang w:val="zh-CN"/>
        </w:rPr>
        <w:t xml:space="preserve">3.1  </w:t>
      </w:r>
      <w:r w:rsidRPr="00562945">
        <w:rPr>
          <w:rFonts w:hAnsi="黑体" w:cs="Times New Roman" w:hint="eastAsia"/>
          <w:color w:val="000000"/>
          <w:lang w:val="zh-CN"/>
        </w:rPr>
        <w:t>种子园规模</w:t>
      </w:r>
    </w:p>
    <w:p w:rsidR="00562945" w:rsidRDefault="00562945" w:rsidP="00562945">
      <w:pPr>
        <w:pStyle w:val="af0"/>
        <w:spacing w:before="156" w:after="156"/>
        <w:ind w:firstLineChars="200" w:firstLine="420"/>
        <w:rPr>
          <w:rFonts w:ascii="宋体" w:eastAsia="宋体" w:hAnsi="宋体" w:cs="Times New Roman"/>
          <w:kern w:val="2"/>
        </w:rPr>
      </w:pPr>
      <w:r w:rsidRPr="00562945">
        <w:rPr>
          <w:rFonts w:ascii="宋体" w:eastAsia="宋体" w:hAnsi="宋体" w:cs="Times New Roman" w:hint="eastAsia"/>
          <w:kern w:val="2"/>
        </w:rPr>
        <w:t>根据各自然生态区的造林规模、供种范围、年平均用种量及种子园单位面积产种量而定，以5hm</w:t>
      </w:r>
      <w:r w:rsidRPr="00562945">
        <w:rPr>
          <w:rFonts w:ascii="宋体" w:eastAsia="宋体" w:hAnsi="宋体" w:cs="Times New Roman" w:hint="eastAsia"/>
          <w:kern w:val="2"/>
          <w:vertAlign w:val="superscript"/>
        </w:rPr>
        <w:t>2</w:t>
      </w:r>
      <w:r w:rsidRPr="00562945">
        <w:rPr>
          <w:rFonts w:ascii="宋体" w:eastAsia="宋体" w:hAnsi="宋体" w:cs="Times New Roman" w:hint="eastAsia"/>
          <w:kern w:val="2"/>
        </w:rPr>
        <w:t>-10hm</w:t>
      </w:r>
      <w:r w:rsidRPr="00562945">
        <w:rPr>
          <w:rFonts w:ascii="宋体" w:eastAsia="宋体" w:hAnsi="宋体" w:cs="Times New Roman" w:hint="eastAsia"/>
          <w:kern w:val="2"/>
          <w:vertAlign w:val="superscript"/>
        </w:rPr>
        <w:t>2</w:t>
      </w:r>
      <w:r w:rsidRPr="00562945">
        <w:rPr>
          <w:rFonts w:ascii="宋体" w:eastAsia="宋体" w:hAnsi="宋体" w:cs="Times New Roman" w:hint="eastAsia"/>
          <w:kern w:val="2"/>
        </w:rPr>
        <w:t>为宜</w:t>
      </w:r>
      <w:r>
        <w:rPr>
          <w:rFonts w:ascii="宋体" w:eastAsia="宋体" w:hAnsi="宋体" w:cs="Times New Roman" w:hint="eastAsia"/>
          <w:kern w:val="2"/>
        </w:rPr>
        <w:t>。</w:t>
      </w:r>
    </w:p>
    <w:p w:rsidR="00562945" w:rsidRDefault="00562945" w:rsidP="00562945">
      <w:pPr>
        <w:pStyle w:val="af0"/>
        <w:spacing w:before="156" w:after="156"/>
        <w:rPr>
          <w:rFonts w:hAnsi="黑体"/>
          <w:color w:val="000000"/>
        </w:rPr>
      </w:pPr>
      <w:r>
        <w:rPr>
          <w:rFonts w:hAnsi="黑体"/>
          <w:color w:val="000000"/>
        </w:rPr>
        <w:t>3.2</w:t>
      </w:r>
      <w:r w:rsidRPr="00824B70">
        <w:rPr>
          <w:rFonts w:hAnsi="黑体" w:cs="Times New Roman"/>
          <w:color w:val="000000"/>
        </w:rPr>
        <w:t xml:space="preserve">  </w:t>
      </w:r>
      <w:r w:rsidRPr="00562945">
        <w:rPr>
          <w:rFonts w:hAnsi="黑体" w:hint="eastAsia"/>
          <w:color w:val="000000"/>
        </w:rPr>
        <w:t>园址条件</w:t>
      </w:r>
    </w:p>
    <w:p w:rsidR="00562945" w:rsidRDefault="00562945" w:rsidP="00562945">
      <w:pPr>
        <w:spacing w:line="360" w:lineRule="auto"/>
        <w:ind w:firstLineChars="200" w:firstLine="420"/>
        <w:rPr>
          <w:rFonts w:ascii="宋体" w:hAnsi="宋体"/>
        </w:rPr>
      </w:pPr>
      <w:r w:rsidRPr="00562945">
        <w:rPr>
          <w:rFonts w:cs="宋体" w:hint="eastAsia"/>
        </w:rPr>
        <w:t>按照</w:t>
      </w:r>
      <w:r w:rsidRPr="00562945">
        <w:rPr>
          <w:rFonts w:cs="宋体" w:hint="eastAsia"/>
        </w:rPr>
        <w:t>DB23/T 1184-2007</w:t>
      </w:r>
      <w:r w:rsidRPr="00562945">
        <w:rPr>
          <w:rFonts w:cs="宋体" w:hint="eastAsia"/>
        </w:rPr>
        <w:t>中</w:t>
      </w:r>
      <w:r w:rsidRPr="00562945">
        <w:rPr>
          <w:rFonts w:cs="宋体" w:hint="eastAsia"/>
        </w:rPr>
        <w:t>4.3</w:t>
      </w:r>
      <w:r w:rsidRPr="00562945">
        <w:rPr>
          <w:rFonts w:cs="宋体" w:hint="eastAsia"/>
        </w:rPr>
        <w:t>的规定执行</w:t>
      </w:r>
      <w:r>
        <w:rPr>
          <w:rFonts w:ascii="宋体" w:hAnsi="宋体" w:hint="eastAsia"/>
        </w:rPr>
        <w:t>。</w:t>
      </w:r>
    </w:p>
    <w:p w:rsidR="00562945" w:rsidRDefault="000217AF" w:rsidP="00562945">
      <w:pPr>
        <w:pStyle w:val="af0"/>
        <w:spacing w:before="156" w:after="156"/>
        <w:rPr>
          <w:rFonts w:hAnsi="黑体"/>
          <w:color w:val="000000"/>
        </w:rPr>
      </w:pPr>
      <w:r>
        <w:rPr>
          <w:rFonts w:hAnsi="黑体"/>
          <w:color w:val="000000"/>
        </w:rPr>
        <w:t>3</w:t>
      </w:r>
      <w:r w:rsidR="00562945">
        <w:rPr>
          <w:rFonts w:hAnsi="黑体"/>
          <w:color w:val="000000"/>
        </w:rPr>
        <w:t>.</w:t>
      </w:r>
      <w:r w:rsidR="00562945">
        <w:rPr>
          <w:rFonts w:hAnsi="黑体" w:hint="eastAsia"/>
          <w:color w:val="000000"/>
        </w:rPr>
        <w:t>3</w:t>
      </w:r>
      <w:r w:rsidR="00562945">
        <w:rPr>
          <w:rFonts w:hAnsi="黑体" w:cs="Times New Roman"/>
          <w:color w:val="000000"/>
          <w:lang w:val="zh-CN"/>
        </w:rPr>
        <w:t xml:space="preserve">  </w:t>
      </w:r>
      <w:r w:rsidR="00D445B3" w:rsidRPr="00D445B3">
        <w:rPr>
          <w:rFonts w:hAnsi="黑体" w:hint="eastAsia"/>
          <w:color w:val="000000"/>
        </w:rPr>
        <w:t>种子园区划及配置</w:t>
      </w:r>
    </w:p>
    <w:p w:rsidR="007B1999" w:rsidRPr="00D445B3" w:rsidRDefault="00D445B3" w:rsidP="00D445B3">
      <w:pPr>
        <w:ind w:firstLineChars="200" w:firstLine="420"/>
        <w:rPr>
          <w:rFonts w:ascii="宋体" w:hAnsi="宋体"/>
        </w:rPr>
      </w:pPr>
      <w:r w:rsidRPr="00D445B3">
        <w:rPr>
          <w:rFonts w:ascii="宋体" w:hAnsi="宋体" w:hint="eastAsia"/>
        </w:rPr>
        <w:t>种子园按大区、区组和小群团区划分区域；每个大区含3</w:t>
      </w:r>
      <w:r w:rsidRPr="00D445B3">
        <w:rPr>
          <w:rFonts w:ascii="宋体" w:hAnsi="宋体"/>
        </w:rPr>
        <w:t>-</w:t>
      </w:r>
      <w:r w:rsidRPr="00D445B3">
        <w:rPr>
          <w:rFonts w:ascii="宋体" w:hAnsi="宋体" w:hint="eastAsia"/>
        </w:rPr>
        <w:t>4个区组（重复），每个区组再由小群团组成。</w:t>
      </w:r>
      <w:r w:rsidR="00C13B13">
        <w:rPr>
          <w:rFonts w:ascii="宋体" w:hAnsi="宋体" w:hint="eastAsia"/>
        </w:rPr>
        <w:t>以</w:t>
      </w:r>
      <w:r w:rsidRPr="00D445B3">
        <w:rPr>
          <w:rFonts w:ascii="宋体" w:hAnsi="宋体" w:hint="eastAsia"/>
        </w:rPr>
        <w:t>“群团</w:t>
      </w:r>
      <w:r w:rsidR="00C13B13">
        <w:rPr>
          <w:rFonts w:ascii="宋体" w:hAnsi="宋体" w:hint="eastAsia"/>
        </w:rPr>
        <w:t>雌</w:t>
      </w:r>
      <w:r w:rsidRPr="00D445B3">
        <w:rPr>
          <w:rFonts w:ascii="宋体" w:hAnsi="宋体" w:hint="eastAsia"/>
        </w:rPr>
        <w:t>雄株双错位小群团方法”</w:t>
      </w:r>
      <w:r w:rsidR="00C13B13">
        <w:rPr>
          <w:rFonts w:ascii="宋体" w:hAnsi="宋体" w:hint="eastAsia"/>
        </w:rPr>
        <w:t>进行</w:t>
      </w:r>
      <w:r w:rsidR="00C13B13" w:rsidRPr="00D445B3">
        <w:rPr>
          <w:rFonts w:ascii="宋体" w:hAnsi="宋体" w:hint="eastAsia"/>
        </w:rPr>
        <w:t>如下</w:t>
      </w:r>
      <w:r w:rsidR="00C13B13">
        <w:rPr>
          <w:rFonts w:ascii="宋体" w:hAnsi="宋体" w:hint="eastAsia"/>
        </w:rPr>
        <w:t>配置</w:t>
      </w:r>
      <w:r w:rsidR="001A0CFA">
        <w:rPr>
          <w:rFonts w:ascii="宋体" w:hAnsi="宋体" w:hint="eastAsia"/>
        </w:rPr>
        <w:t>，</w:t>
      </w:r>
      <w:r w:rsidRPr="00D445B3">
        <w:rPr>
          <w:rFonts w:ascii="宋体" w:hAnsi="宋体" w:hint="eastAsia"/>
        </w:rPr>
        <w:t>4株为1个群团（3雌1雄），雄株排在左下角，群团内株行距（4m×4m），群团间（8m×8m），每公顷196株，雌株147株，雄株49株；区组间小群团采用顺序错4位、雄株按顺序错1位排列，保证了整个种子园内所有无性系无</w:t>
      </w:r>
      <w:r w:rsidR="00C13B13" w:rsidRPr="00D445B3">
        <w:rPr>
          <w:rFonts w:ascii="宋体" w:hAnsi="宋体" w:hint="eastAsia"/>
        </w:rPr>
        <w:t>固定</w:t>
      </w:r>
      <w:r w:rsidRPr="00D445B3">
        <w:rPr>
          <w:rFonts w:ascii="宋体" w:hAnsi="宋体" w:hint="eastAsia"/>
        </w:rPr>
        <w:t>重复邻居。种子园主体区雌雄株配比为3:1，种子园内每区组间添充1行雄株，四周1行雄株保护行，其外是1</w:t>
      </w:r>
      <w:r w:rsidRPr="00D445B3">
        <w:rPr>
          <w:rFonts w:ascii="宋体" w:hAnsi="宋体"/>
        </w:rPr>
        <w:t>-</w:t>
      </w:r>
      <w:r w:rsidRPr="00D445B3">
        <w:rPr>
          <w:rFonts w:ascii="宋体" w:hAnsi="宋体" w:hint="eastAsia"/>
        </w:rPr>
        <w:t>2行落叶松或云杉保护行（2m×2m）。</w:t>
      </w:r>
    </w:p>
    <w:p w:rsidR="00D445B3" w:rsidRDefault="00D445B3" w:rsidP="00D445B3">
      <w:pPr>
        <w:pStyle w:val="af0"/>
        <w:spacing w:before="156" w:after="156"/>
        <w:rPr>
          <w:rFonts w:hAnsi="黑体"/>
          <w:color w:val="000000"/>
        </w:rPr>
      </w:pPr>
      <w:bookmarkStart w:id="16" w:name="_Toc13752778"/>
      <w:r>
        <w:rPr>
          <w:rFonts w:hAnsi="黑体"/>
          <w:color w:val="000000"/>
        </w:rPr>
        <w:t>3.4</w:t>
      </w:r>
      <w:r w:rsidRPr="00824B70">
        <w:rPr>
          <w:rFonts w:hAnsi="黑体" w:cs="Times New Roman"/>
          <w:color w:val="000000"/>
        </w:rPr>
        <w:t xml:space="preserve">  </w:t>
      </w:r>
      <w:r w:rsidRPr="00D445B3">
        <w:rPr>
          <w:rFonts w:hAnsi="黑体" w:hint="eastAsia"/>
          <w:color w:val="000000"/>
        </w:rPr>
        <w:t>建园材料来源</w:t>
      </w:r>
    </w:p>
    <w:p w:rsidR="00D445B3" w:rsidRDefault="00D445B3" w:rsidP="00D445B3">
      <w:pPr>
        <w:ind w:firstLineChars="200" w:firstLine="420"/>
        <w:rPr>
          <w:rFonts w:ascii="宋体" w:hAnsi="宋体"/>
        </w:rPr>
      </w:pPr>
      <w:r w:rsidRPr="00D445B3">
        <w:rPr>
          <w:rFonts w:ascii="宋体" w:hAnsi="宋体"/>
        </w:rPr>
        <w:t>通过对第一代无性系种子园的优树子代测定林各个家系进行生长量调查，选出树高生长量超出平均值15%以上优良家系，或材积超出平均值30%以上优良家系。再在家系中，选择优良单株</w:t>
      </w:r>
      <w:r>
        <w:rPr>
          <w:rFonts w:ascii="宋体" w:hAnsi="宋体" w:hint="eastAsia"/>
        </w:rPr>
        <w:t>。</w:t>
      </w:r>
    </w:p>
    <w:p w:rsidR="007B1999" w:rsidRDefault="00AF3D39">
      <w:pPr>
        <w:pStyle w:val="af1"/>
        <w:spacing w:before="312" w:after="312"/>
        <w:rPr>
          <w:rFonts w:cs="Times New Roman"/>
          <w:szCs w:val="20"/>
        </w:rPr>
      </w:pPr>
      <w:r>
        <w:rPr>
          <w:rFonts w:cs="Times New Roman" w:hint="eastAsia"/>
          <w:szCs w:val="20"/>
        </w:rPr>
        <w:lastRenderedPageBreak/>
        <w:t>4</w:t>
      </w:r>
      <w:bookmarkEnd w:id="16"/>
      <w:r>
        <w:rPr>
          <w:rFonts w:cs="Times New Roman" w:hint="eastAsia"/>
          <w:szCs w:val="20"/>
        </w:rPr>
        <w:t xml:space="preserve"> </w:t>
      </w:r>
      <w:r>
        <w:rPr>
          <w:rFonts w:cs="Times New Roman"/>
          <w:szCs w:val="20"/>
        </w:rPr>
        <w:t xml:space="preserve"> </w:t>
      </w:r>
      <w:r w:rsidR="00D445B3" w:rsidRPr="00D445B3">
        <w:rPr>
          <w:rFonts w:cs="Times New Roman" w:hint="eastAsia"/>
          <w:szCs w:val="20"/>
        </w:rPr>
        <w:t>建园材料的繁殖</w:t>
      </w:r>
    </w:p>
    <w:p w:rsidR="007B1999" w:rsidRDefault="00AF3D39">
      <w:pPr>
        <w:pStyle w:val="af0"/>
        <w:spacing w:before="156" w:after="156"/>
        <w:rPr>
          <w:rFonts w:hAnsi="黑体" w:cs="Times New Roman"/>
          <w:color w:val="000000"/>
          <w:lang w:val="zh-CN"/>
        </w:rPr>
      </w:pPr>
      <w:r>
        <w:rPr>
          <w:rFonts w:hAnsi="黑体" w:cs="Times New Roman"/>
          <w:color w:val="000000"/>
          <w:lang w:val="zh-CN"/>
        </w:rPr>
        <w:t xml:space="preserve">4.1  </w:t>
      </w:r>
      <w:r w:rsidR="00D445B3" w:rsidRPr="00D445B3">
        <w:rPr>
          <w:rFonts w:hAnsi="黑体" w:cs="Times New Roman" w:hint="eastAsia"/>
          <w:color w:val="000000"/>
          <w:lang w:val="zh-CN"/>
        </w:rPr>
        <w:t>砧木选择</w:t>
      </w:r>
    </w:p>
    <w:p w:rsidR="007B1999" w:rsidRDefault="00D445B3">
      <w:pPr>
        <w:pStyle w:val="af0"/>
        <w:spacing w:before="156" w:after="156"/>
        <w:ind w:firstLineChars="200" w:firstLine="420"/>
        <w:rPr>
          <w:rFonts w:ascii="宋体" w:eastAsia="宋体" w:hAnsi="宋体" w:cs="Times New Roman"/>
          <w:kern w:val="2"/>
        </w:rPr>
      </w:pPr>
      <w:r w:rsidRPr="00D445B3">
        <w:rPr>
          <w:rFonts w:ascii="宋体" w:eastAsia="宋体" w:hAnsi="宋体" w:cs="Times New Roman" w:hint="eastAsia"/>
          <w:kern w:val="2"/>
        </w:rPr>
        <w:t>选用生长粗壮、根系发达的二年生移植苗。嫁接部位的砧木粗度应为接穗的1.5倍左右</w:t>
      </w:r>
      <w:r w:rsidR="00AF3D39">
        <w:rPr>
          <w:rFonts w:ascii="宋体" w:eastAsia="宋体" w:hAnsi="宋体" w:cs="Times New Roman" w:hint="eastAsia"/>
          <w:kern w:val="2"/>
        </w:rPr>
        <w:t>。</w:t>
      </w:r>
    </w:p>
    <w:p w:rsidR="007B1999" w:rsidRDefault="00AF3D39">
      <w:pPr>
        <w:pStyle w:val="af0"/>
        <w:spacing w:before="156" w:after="156"/>
        <w:rPr>
          <w:rFonts w:hAnsi="黑体"/>
          <w:color w:val="000000"/>
        </w:rPr>
      </w:pPr>
      <w:bookmarkStart w:id="17" w:name="_Toc13752779"/>
      <w:r>
        <w:rPr>
          <w:rFonts w:hAnsi="黑体"/>
          <w:color w:val="000000"/>
        </w:rPr>
        <w:t>4.2</w:t>
      </w:r>
      <w:r w:rsidRPr="00824B70">
        <w:rPr>
          <w:rFonts w:hAnsi="黑体" w:cs="Times New Roman"/>
          <w:color w:val="000000"/>
        </w:rPr>
        <w:t xml:space="preserve">  </w:t>
      </w:r>
      <w:r w:rsidR="00D445B3" w:rsidRPr="00D445B3">
        <w:rPr>
          <w:rFonts w:hAnsi="黑体" w:hint="eastAsia"/>
          <w:color w:val="000000"/>
        </w:rPr>
        <w:t>嫁接</w:t>
      </w:r>
    </w:p>
    <w:p w:rsidR="007B1999" w:rsidRDefault="00D445B3" w:rsidP="00D445B3">
      <w:pPr>
        <w:ind w:firstLineChars="200" w:firstLine="420"/>
        <w:rPr>
          <w:rFonts w:ascii="宋体" w:hAnsi="宋体"/>
        </w:rPr>
      </w:pPr>
      <w:r w:rsidRPr="00D445B3">
        <w:rPr>
          <w:rFonts w:ascii="宋体" w:hAnsi="宋体" w:hint="eastAsia"/>
        </w:rPr>
        <w:t>在早春树液流动之前，当年生枝条作为接穗，每个单株采接穗50枝，按无性系捆扎包装，运输时要保湿、通风、防压、防高温。接穗应雪藏于苗木窖或低温处，定期检查。嫁接时间为每年4月下旬</w:t>
      </w:r>
      <w:r>
        <w:rPr>
          <w:rFonts w:ascii="宋体" w:hAnsi="宋体"/>
        </w:rPr>
        <w:t>-</w:t>
      </w:r>
      <w:r w:rsidRPr="00D445B3">
        <w:rPr>
          <w:rFonts w:ascii="宋体" w:hAnsi="宋体" w:hint="eastAsia"/>
        </w:rPr>
        <w:t>5月初，水曲柳展叶前，以2年生水曲柳苗为砧木进行劈接法嫁接。待接穗长至20cm即解绑带，并及时除萌蘖、除草和浇水管理。</w:t>
      </w:r>
    </w:p>
    <w:p w:rsidR="007B1999" w:rsidRDefault="00AF3D39">
      <w:pPr>
        <w:pStyle w:val="af1"/>
        <w:spacing w:before="312" w:after="312"/>
        <w:rPr>
          <w:rFonts w:cs="Times New Roman"/>
          <w:szCs w:val="20"/>
        </w:rPr>
      </w:pPr>
      <w:r>
        <w:rPr>
          <w:rFonts w:cs="Times New Roman"/>
          <w:szCs w:val="20"/>
        </w:rPr>
        <w:t xml:space="preserve">5  </w:t>
      </w:r>
      <w:r w:rsidR="00554CAA">
        <w:rPr>
          <w:rFonts w:cs="Times New Roman" w:hint="eastAsia"/>
          <w:szCs w:val="20"/>
        </w:rPr>
        <w:t>整地、定植</w:t>
      </w:r>
      <w:r w:rsidR="00711AB0">
        <w:rPr>
          <w:rFonts w:cs="Times New Roman" w:hint="eastAsia"/>
          <w:szCs w:val="20"/>
        </w:rPr>
        <w:t>与</w:t>
      </w:r>
      <w:r w:rsidR="00554CAA">
        <w:rPr>
          <w:rFonts w:cs="Times New Roman" w:hint="eastAsia"/>
          <w:szCs w:val="20"/>
        </w:rPr>
        <w:t>登记</w:t>
      </w:r>
    </w:p>
    <w:p w:rsidR="007B1999" w:rsidRDefault="00AF3D39">
      <w:pPr>
        <w:pStyle w:val="af0"/>
        <w:spacing w:before="156" w:after="156"/>
        <w:rPr>
          <w:rFonts w:hAnsi="黑体" w:cs="Times New Roman"/>
          <w:color w:val="000000"/>
          <w:lang w:val="zh-CN"/>
        </w:rPr>
      </w:pPr>
      <w:r>
        <w:rPr>
          <w:rFonts w:hAnsi="黑体" w:cs="Times New Roman" w:hint="eastAsia"/>
          <w:color w:val="000000"/>
          <w:lang w:val="zh-CN"/>
        </w:rPr>
        <w:t>5.1</w:t>
      </w:r>
      <w:r>
        <w:rPr>
          <w:rFonts w:hAnsi="黑体" w:cs="Times New Roman"/>
          <w:color w:val="000000"/>
          <w:lang w:val="zh-CN"/>
        </w:rPr>
        <w:t xml:space="preserve">  </w:t>
      </w:r>
      <w:r w:rsidR="00554CAA">
        <w:rPr>
          <w:rFonts w:hAnsi="黑体" w:cs="Times New Roman" w:hint="eastAsia"/>
          <w:color w:val="000000"/>
          <w:lang w:val="zh-CN"/>
        </w:rPr>
        <w:t>整地</w:t>
      </w:r>
    </w:p>
    <w:p w:rsidR="007B1999" w:rsidRDefault="00554CAA">
      <w:pPr>
        <w:pStyle w:val="af"/>
        <w:rPr>
          <w:rFonts w:hAnsi="宋体" w:cs="Times New Roman"/>
          <w:kern w:val="2"/>
        </w:rPr>
      </w:pPr>
      <w:r w:rsidRPr="00554CAA">
        <w:rPr>
          <w:rFonts w:ascii="Times New Roman" w:hint="eastAsia"/>
          <w:kern w:val="2"/>
        </w:rPr>
        <w:t>整地在定植前一年进行，穴内回填表土。植苗时每穴施有机肥</w:t>
      </w:r>
      <w:r w:rsidRPr="00554CAA">
        <w:rPr>
          <w:rFonts w:ascii="Times New Roman" w:hint="eastAsia"/>
          <w:kern w:val="2"/>
        </w:rPr>
        <w:t>5kg</w:t>
      </w:r>
      <w:r>
        <w:rPr>
          <w:rFonts w:ascii="Times New Roman"/>
          <w:kern w:val="2"/>
        </w:rPr>
        <w:t>-</w:t>
      </w:r>
      <w:r w:rsidRPr="00554CAA">
        <w:rPr>
          <w:rFonts w:ascii="Times New Roman" w:hint="eastAsia"/>
          <w:kern w:val="2"/>
        </w:rPr>
        <w:t>10kg</w:t>
      </w:r>
      <w:r w:rsidRPr="00554CAA">
        <w:rPr>
          <w:rFonts w:ascii="Times New Roman" w:hint="eastAsia"/>
          <w:kern w:val="2"/>
        </w:rPr>
        <w:t>。在定植前一年秋季整地。对地上植被较多的地块，整地前要全面或带状割除或伐除地上的乔灌木及其他植被，然后进行整地。平原地带采用全面或带状整地，山地或地形不规整地块采用带状或穴状整地。穴状整地时穴径为</w:t>
      </w:r>
      <w:r w:rsidRPr="00554CAA">
        <w:rPr>
          <w:rFonts w:ascii="Times New Roman" w:hint="eastAsia"/>
          <w:kern w:val="2"/>
        </w:rPr>
        <w:t>60cm</w:t>
      </w:r>
      <w:r w:rsidRPr="00554CAA">
        <w:rPr>
          <w:rFonts w:ascii="Times New Roman" w:hint="eastAsia"/>
          <w:kern w:val="2"/>
        </w:rPr>
        <w:t>、深</w:t>
      </w:r>
      <w:r w:rsidRPr="00554CAA">
        <w:rPr>
          <w:rFonts w:ascii="Times New Roman" w:hint="eastAsia"/>
          <w:kern w:val="2"/>
        </w:rPr>
        <w:t>20cm</w:t>
      </w:r>
      <w:r>
        <w:rPr>
          <w:rFonts w:ascii="Times New Roman"/>
          <w:kern w:val="2"/>
        </w:rPr>
        <w:t>-</w:t>
      </w:r>
      <w:r w:rsidRPr="00554CAA">
        <w:rPr>
          <w:rFonts w:ascii="Times New Roman" w:hint="eastAsia"/>
          <w:kern w:val="2"/>
        </w:rPr>
        <w:t>25cm</w:t>
      </w:r>
      <w:r w:rsidR="00AF3D39">
        <w:rPr>
          <w:rFonts w:hAnsi="宋体" w:cs="Times New Roman" w:hint="eastAsia"/>
          <w:kern w:val="2"/>
        </w:rPr>
        <w:t>。</w:t>
      </w:r>
    </w:p>
    <w:p w:rsidR="007B1999" w:rsidRDefault="00AF3D39">
      <w:pPr>
        <w:pStyle w:val="af0"/>
        <w:spacing w:before="156" w:after="156"/>
        <w:rPr>
          <w:rFonts w:hAnsi="黑体" w:cs="Times New Roman"/>
          <w:color w:val="000000"/>
          <w:lang w:val="zh-CN"/>
        </w:rPr>
      </w:pPr>
      <w:r>
        <w:rPr>
          <w:rFonts w:hAnsi="黑体" w:cs="Times New Roman" w:hint="eastAsia"/>
          <w:color w:val="000000"/>
          <w:lang w:val="zh-CN"/>
        </w:rPr>
        <w:t>5.</w:t>
      </w:r>
      <w:r w:rsidR="00BF66FC">
        <w:rPr>
          <w:rFonts w:hAnsi="黑体" w:cs="Times New Roman" w:hint="eastAsia"/>
          <w:color w:val="000000"/>
          <w:lang w:val="zh-CN"/>
        </w:rPr>
        <w:t>2</w:t>
      </w:r>
      <w:r>
        <w:rPr>
          <w:rFonts w:hAnsi="黑体" w:cs="Times New Roman"/>
          <w:color w:val="000000"/>
          <w:lang w:val="zh-CN"/>
        </w:rPr>
        <w:t xml:space="preserve">  </w:t>
      </w:r>
      <w:r w:rsidR="00554CAA">
        <w:rPr>
          <w:rFonts w:hAnsi="黑体" w:cs="Times New Roman" w:hint="eastAsia"/>
          <w:color w:val="000000"/>
          <w:lang w:val="zh-CN"/>
        </w:rPr>
        <w:t>定植</w:t>
      </w:r>
    </w:p>
    <w:p w:rsidR="007B1999" w:rsidRDefault="00554CAA">
      <w:pPr>
        <w:pStyle w:val="af"/>
        <w:rPr>
          <w:rFonts w:ascii="Times New Roman"/>
          <w:kern w:val="2"/>
        </w:rPr>
      </w:pPr>
      <w:r w:rsidRPr="00554CAA">
        <w:rPr>
          <w:rFonts w:ascii="Times New Roman" w:hint="eastAsia"/>
          <w:kern w:val="2"/>
        </w:rPr>
        <w:t>无性系定植株行距为</w:t>
      </w:r>
      <w:r w:rsidRPr="00554CAA">
        <w:rPr>
          <w:rFonts w:ascii="Times New Roman" w:hint="eastAsia"/>
          <w:kern w:val="2"/>
        </w:rPr>
        <w:t>4m</w:t>
      </w:r>
      <w:r w:rsidRPr="00554CAA">
        <w:rPr>
          <w:rFonts w:ascii="Times New Roman" w:hint="eastAsia"/>
          <w:kern w:val="2"/>
        </w:rPr>
        <w:t>×</w:t>
      </w:r>
      <w:r w:rsidRPr="00554CAA">
        <w:rPr>
          <w:rFonts w:ascii="Times New Roman" w:hint="eastAsia"/>
          <w:kern w:val="2"/>
        </w:rPr>
        <w:t>4m</w:t>
      </w:r>
      <w:r w:rsidRPr="00554CAA">
        <w:rPr>
          <w:rFonts w:ascii="Times New Roman" w:hint="eastAsia"/>
          <w:kern w:val="2"/>
        </w:rPr>
        <w:t>，群团间</w:t>
      </w:r>
      <w:r w:rsidRPr="00554CAA">
        <w:rPr>
          <w:rFonts w:ascii="Times New Roman" w:hint="eastAsia"/>
          <w:kern w:val="2"/>
        </w:rPr>
        <w:t>8m</w:t>
      </w:r>
      <w:r w:rsidRPr="00554CAA">
        <w:rPr>
          <w:rFonts w:ascii="Times New Roman" w:hint="eastAsia"/>
          <w:kern w:val="2"/>
        </w:rPr>
        <w:t>×</w:t>
      </w:r>
      <w:r w:rsidRPr="00554CAA">
        <w:rPr>
          <w:rFonts w:ascii="Times New Roman" w:hint="eastAsia"/>
          <w:kern w:val="2"/>
        </w:rPr>
        <w:t>8m</w:t>
      </w:r>
      <w:r w:rsidR="00AF3D39">
        <w:rPr>
          <w:rFonts w:ascii="Times New Roman" w:hint="eastAsia"/>
          <w:kern w:val="2"/>
        </w:rPr>
        <w:t>。</w:t>
      </w:r>
    </w:p>
    <w:p w:rsidR="00554CAA" w:rsidRDefault="00554CAA" w:rsidP="00554CAA">
      <w:pPr>
        <w:pStyle w:val="af0"/>
        <w:spacing w:before="156" w:after="156"/>
        <w:rPr>
          <w:rFonts w:hAnsi="黑体" w:cs="Times New Roman"/>
          <w:color w:val="000000"/>
          <w:lang w:val="zh-CN"/>
        </w:rPr>
      </w:pPr>
      <w:r>
        <w:rPr>
          <w:rFonts w:hAnsi="黑体" w:cs="Times New Roman" w:hint="eastAsia"/>
          <w:color w:val="000000"/>
          <w:lang w:val="zh-CN"/>
        </w:rPr>
        <w:t>5.</w:t>
      </w:r>
      <w:r>
        <w:rPr>
          <w:rFonts w:hAnsi="黑体" w:cs="Times New Roman"/>
          <w:color w:val="000000"/>
          <w:lang w:val="zh-CN"/>
        </w:rPr>
        <w:t xml:space="preserve">3  </w:t>
      </w:r>
      <w:r>
        <w:rPr>
          <w:rFonts w:hAnsi="黑体" w:cs="Times New Roman" w:hint="eastAsia"/>
          <w:color w:val="000000"/>
          <w:lang w:val="zh-CN"/>
        </w:rPr>
        <w:t>登记和绘图</w:t>
      </w:r>
    </w:p>
    <w:p w:rsidR="00554CAA" w:rsidRDefault="00554CAA" w:rsidP="00554CAA">
      <w:pPr>
        <w:pStyle w:val="af"/>
        <w:rPr>
          <w:rFonts w:ascii="Times New Roman"/>
          <w:kern w:val="2"/>
        </w:rPr>
      </w:pPr>
      <w:r w:rsidRPr="00554CAA">
        <w:rPr>
          <w:rFonts w:ascii="Times New Roman" w:hint="eastAsia"/>
          <w:kern w:val="2"/>
        </w:rPr>
        <w:t>嫁接苗对号挂牌，现场及时登记、绘制种子园定植图</w:t>
      </w:r>
      <w:r>
        <w:rPr>
          <w:rFonts w:ascii="Times New Roman" w:hint="eastAsia"/>
          <w:kern w:val="2"/>
        </w:rPr>
        <w:t>。</w:t>
      </w:r>
    </w:p>
    <w:p w:rsidR="007B1999" w:rsidRDefault="00AF3D39">
      <w:pPr>
        <w:widowControl/>
        <w:spacing w:beforeLines="100" w:before="312" w:afterLines="100" w:after="312"/>
        <w:outlineLvl w:val="1"/>
        <w:rPr>
          <w:rFonts w:ascii="黑体" w:eastAsia="黑体"/>
          <w:kern w:val="0"/>
          <w:szCs w:val="20"/>
        </w:rPr>
      </w:pPr>
      <w:r>
        <w:rPr>
          <w:rFonts w:ascii="黑体" w:eastAsia="黑体" w:hAnsi="黑体"/>
          <w:color w:val="000000"/>
          <w:kern w:val="0"/>
          <w:szCs w:val="20"/>
        </w:rPr>
        <w:t xml:space="preserve">6  </w:t>
      </w:r>
      <w:r w:rsidR="00554CAA" w:rsidRPr="00554CAA">
        <w:rPr>
          <w:rFonts w:ascii="黑体" w:eastAsia="黑体" w:hint="eastAsia"/>
          <w:kern w:val="0"/>
          <w:szCs w:val="20"/>
        </w:rPr>
        <w:t>经营管理</w:t>
      </w:r>
    </w:p>
    <w:p w:rsidR="007B1999" w:rsidRDefault="00AF3D39">
      <w:pPr>
        <w:pStyle w:val="af0"/>
        <w:spacing w:before="156" w:after="156"/>
        <w:rPr>
          <w:rFonts w:hAnsi="黑体" w:cs="Times New Roman"/>
          <w:color w:val="000000"/>
          <w:lang w:val="zh-CN"/>
        </w:rPr>
      </w:pPr>
      <w:r>
        <w:rPr>
          <w:rFonts w:hAnsi="黑体" w:cs="Times New Roman"/>
          <w:color w:val="000000"/>
          <w:lang w:val="zh-CN"/>
        </w:rPr>
        <w:t xml:space="preserve">6.1  </w:t>
      </w:r>
      <w:r w:rsidR="00554CAA" w:rsidRPr="00554CAA">
        <w:rPr>
          <w:rFonts w:hAnsi="黑体" w:cs="Times New Roman" w:hint="eastAsia"/>
          <w:color w:val="000000"/>
          <w:lang w:val="zh-CN"/>
        </w:rPr>
        <w:t>水肥管理</w:t>
      </w:r>
    </w:p>
    <w:p w:rsidR="007B1999" w:rsidRDefault="00554CAA">
      <w:pPr>
        <w:pStyle w:val="af0"/>
        <w:spacing w:before="156" w:after="156"/>
        <w:ind w:firstLine="420"/>
        <w:rPr>
          <w:rFonts w:ascii="宋体" w:eastAsia="宋体" w:hAnsi="宋体" w:cs="Times New Roman"/>
          <w:color w:val="000000"/>
          <w:lang w:val="zh-CN"/>
        </w:rPr>
      </w:pPr>
      <w:r w:rsidRPr="00554CAA">
        <w:rPr>
          <w:rFonts w:ascii="宋体" w:eastAsia="宋体" w:hAnsi="宋体" w:cs="Times New Roman" w:hint="eastAsia"/>
          <w:color w:val="000000"/>
          <w:lang w:val="zh-CN"/>
        </w:rPr>
        <w:t>安装灌溉设施，夏季高温干旱时及时浇水，结合每年的第一次松土除草施肥。未进入开花期的水曲柳幼树每株施加N:0.15kg、P:0</w:t>
      </w:r>
      <w:r w:rsidR="001A0CFA">
        <w:rPr>
          <w:rFonts w:ascii="宋体" w:eastAsia="宋体" w:hAnsi="宋体" w:cs="Times New Roman" w:hint="eastAsia"/>
          <w:color w:val="000000"/>
          <w:lang w:val="zh-CN"/>
        </w:rPr>
        <w:t>.</w:t>
      </w:r>
      <w:r w:rsidRPr="00554CAA">
        <w:rPr>
          <w:rFonts w:ascii="宋体" w:eastAsia="宋体" w:hAnsi="宋体" w:cs="Times New Roman" w:hint="eastAsia"/>
          <w:color w:val="000000"/>
          <w:lang w:val="zh-CN"/>
        </w:rPr>
        <w:t>3kg、K:0.2kg复合肥；对于已开花水曲柳大树，每株施加N:0.3kg、P:0</w:t>
      </w:r>
      <w:r w:rsidR="001A0CFA">
        <w:rPr>
          <w:rFonts w:ascii="宋体" w:eastAsia="宋体" w:hAnsi="宋体" w:cs="Times New Roman"/>
          <w:color w:val="000000"/>
          <w:lang w:val="zh-CN"/>
        </w:rPr>
        <w:t>.</w:t>
      </w:r>
      <w:r w:rsidRPr="00554CAA">
        <w:rPr>
          <w:rFonts w:ascii="宋体" w:eastAsia="宋体" w:hAnsi="宋体" w:cs="Times New Roman" w:hint="eastAsia"/>
          <w:color w:val="000000"/>
          <w:lang w:val="zh-CN"/>
        </w:rPr>
        <w:t>6kg、K:0.4kg复合肥。肥料使用应符合</w:t>
      </w:r>
      <w:r w:rsidR="00A84A05" w:rsidRPr="00A84A05">
        <w:rPr>
          <w:rFonts w:ascii="宋体" w:eastAsia="宋体" w:hAnsi="宋体" w:cs="Times New Roman"/>
          <w:color w:val="000000"/>
          <w:lang w:val="zh-CN"/>
        </w:rPr>
        <w:t>NY/T 496-2010</w:t>
      </w:r>
      <w:r w:rsidRPr="00554CAA">
        <w:rPr>
          <w:rFonts w:ascii="宋体" w:eastAsia="宋体" w:hAnsi="宋体" w:cs="Times New Roman" w:hint="eastAsia"/>
          <w:color w:val="000000"/>
          <w:lang w:val="zh-CN"/>
        </w:rPr>
        <w:t>的规定</w:t>
      </w:r>
      <w:r w:rsidR="00AF3D39">
        <w:rPr>
          <w:rFonts w:ascii="宋体" w:eastAsia="宋体" w:hAnsi="宋体" w:cs="Times New Roman" w:hint="eastAsia"/>
          <w:color w:val="000000"/>
          <w:lang w:val="zh-CN"/>
        </w:rPr>
        <w:t>。</w:t>
      </w:r>
    </w:p>
    <w:p w:rsidR="007B1999" w:rsidRDefault="00AF3D39">
      <w:pPr>
        <w:pStyle w:val="af0"/>
        <w:spacing w:before="156" w:after="156"/>
        <w:rPr>
          <w:rFonts w:hAnsi="黑体" w:cs="Times New Roman"/>
          <w:color w:val="000000"/>
          <w:lang w:val="zh-CN"/>
        </w:rPr>
      </w:pPr>
      <w:r>
        <w:rPr>
          <w:rFonts w:hAnsi="黑体" w:cs="Times New Roman"/>
          <w:color w:val="000000"/>
          <w:lang w:val="zh-CN"/>
        </w:rPr>
        <w:t>6.</w:t>
      </w:r>
      <w:r>
        <w:rPr>
          <w:rFonts w:hAnsi="黑体" w:cs="Times New Roman" w:hint="eastAsia"/>
          <w:color w:val="000000"/>
          <w:lang w:val="zh-CN"/>
        </w:rPr>
        <w:t>2</w:t>
      </w:r>
      <w:r>
        <w:rPr>
          <w:rFonts w:hAnsi="黑体" w:cs="Times New Roman"/>
          <w:color w:val="000000"/>
          <w:lang w:val="zh-CN"/>
        </w:rPr>
        <w:t xml:space="preserve">  </w:t>
      </w:r>
      <w:r w:rsidR="00554CAA" w:rsidRPr="00554CAA">
        <w:rPr>
          <w:rFonts w:hAnsi="黑体" w:cs="Times New Roman" w:hint="eastAsia"/>
          <w:color w:val="000000"/>
          <w:lang w:val="zh-CN"/>
        </w:rPr>
        <w:t>松土除草</w:t>
      </w:r>
    </w:p>
    <w:p w:rsidR="007B1999" w:rsidRDefault="00554CAA">
      <w:pPr>
        <w:pStyle w:val="af"/>
        <w:rPr>
          <w:lang w:val="zh-CN"/>
        </w:rPr>
      </w:pPr>
      <w:r w:rsidRPr="00554CAA">
        <w:rPr>
          <w:rFonts w:hint="eastAsia"/>
          <w:lang w:val="zh-CN"/>
        </w:rPr>
        <w:t>每年松土除草2次。第一次在5</w:t>
      </w:r>
      <w:r>
        <w:rPr>
          <w:lang w:val="zh-CN"/>
        </w:rPr>
        <w:t>-</w:t>
      </w:r>
      <w:r w:rsidRPr="00554CAA">
        <w:rPr>
          <w:rFonts w:hint="eastAsia"/>
          <w:lang w:val="zh-CN"/>
        </w:rPr>
        <w:t>6月进行全面清除杂草与灌木，树冠下松土，深度5cm</w:t>
      </w:r>
      <w:r>
        <w:rPr>
          <w:lang w:val="zh-CN"/>
        </w:rPr>
        <w:t>-</w:t>
      </w:r>
      <w:r w:rsidRPr="00554CAA">
        <w:rPr>
          <w:rFonts w:hint="eastAsia"/>
          <w:lang w:val="zh-CN"/>
        </w:rPr>
        <w:t>10cm;第二次8月清除杂草与灌木</w:t>
      </w:r>
      <w:r w:rsidR="00AF3D39">
        <w:rPr>
          <w:rFonts w:hint="eastAsia"/>
          <w:lang w:val="zh-CN"/>
        </w:rPr>
        <w:t>。</w:t>
      </w:r>
    </w:p>
    <w:p w:rsidR="007B1999" w:rsidRDefault="00AF3D39">
      <w:pPr>
        <w:pStyle w:val="af0"/>
        <w:spacing w:before="156" w:after="156"/>
        <w:rPr>
          <w:rFonts w:hAnsi="黑体" w:cs="Times New Roman"/>
          <w:color w:val="000000"/>
          <w:lang w:val="zh-CN"/>
        </w:rPr>
      </w:pPr>
      <w:r>
        <w:rPr>
          <w:rFonts w:hAnsi="黑体" w:cs="Times New Roman"/>
          <w:color w:val="000000"/>
          <w:lang w:val="zh-CN"/>
        </w:rPr>
        <w:t>6.</w:t>
      </w:r>
      <w:r>
        <w:rPr>
          <w:rFonts w:hAnsi="黑体" w:cs="Times New Roman" w:hint="eastAsia"/>
          <w:color w:val="000000"/>
          <w:lang w:val="zh-CN"/>
        </w:rPr>
        <w:t>3</w:t>
      </w:r>
      <w:r>
        <w:rPr>
          <w:rFonts w:hAnsi="黑体" w:cs="Times New Roman"/>
          <w:color w:val="000000"/>
          <w:lang w:val="zh-CN"/>
        </w:rPr>
        <w:t xml:space="preserve">  </w:t>
      </w:r>
      <w:r w:rsidR="00554CAA" w:rsidRPr="00554CAA">
        <w:rPr>
          <w:rFonts w:hAnsi="黑体" w:cs="Times New Roman" w:hint="eastAsia"/>
          <w:color w:val="000000"/>
          <w:lang w:val="zh-CN"/>
        </w:rPr>
        <w:t>树体管理</w:t>
      </w:r>
    </w:p>
    <w:p w:rsidR="007B1999" w:rsidRDefault="00554CAA">
      <w:pPr>
        <w:pStyle w:val="af"/>
        <w:rPr>
          <w:lang w:val="zh-CN"/>
        </w:rPr>
      </w:pPr>
      <w:r w:rsidRPr="00554CAA">
        <w:rPr>
          <w:rFonts w:hint="eastAsia"/>
          <w:lang w:val="zh-CN"/>
        </w:rPr>
        <w:t>按照DB23/T 1184-2007中6.5的规定执行</w:t>
      </w:r>
      <w:r w:rsidR="00AF3D39">
        <w:rPr>
          <w:rFonts w:hint="eastAsia"/>
        </w:rPr>
        <w:t>。</w:t>
      </w:r>
    </w:p>
    <w:p w:rsidR="007B1999" w:rsidRDefault="00554CAA">
      <w:pPr>
        <w:pStyle w:val="af0"/>
        <w:spacing w:before="156" w:after="156"/>
        <w:rPr>
          <w:rFonts w:hAnsi="黑体" w:cs="Times New Roman"/>
          <w:color w:val="000000"/>
          <w:lang w:val="zh-CN"/>
        </w:rPr>
      </w:pPr>
      <w:r>
        <w:rPr>
          <w:rFonts w:hAnsi="黑体" w:cs="Times New Roman"/>
          <w:color w:val="000000"/>
          <w:lang w:val="zh-CN"/>
        </w:rPr>
        <w:t>6</w:t>
      </w:r>
      <w:r w:rsidR="00AF3D39">
        <w:rPr>
          <w:rFonts w:hAnsi="黑体" w:cs="Times New Roman"/>
          <w:color w:val="000000"/>
          <w:lang w:val="zh-CN"/>
        </w:rPr>
        <w:t>.</w:t>
      </w:r>
      <w:r>
        <w:rPr>
          <w:rFonts w:hAnsi="黑体" w:cs="Times New Roman"/>
          <w:color w:val="000000"/>
          <w:lang w:val="zh-CN"/>
        </w:rPr>
        <w:t>4</w:t>
      </w:r>
      <w:r w:rsidR="00AF3D39">
        <w:rPr>
          <w:rFonts w:hAnsi="黑体" w:cs="Times New Roman"/>
          <w:color w:val="000000"/>
          <w:lang w:val="zh-CN"/>
        </w:rPr>
        <w:t xml:space="preserve">  </w:t>
      </w:r>
      <w:r w:rsidRPr="00554CAA">
        <w:rPr>
          <w:rFonts w:hAnsi="黑体" w:cs="Times New Roman" w:hint="eastAsia"/>
          <w:color w:val="000000"/>
          <w:lang w:val="zh-CN"/>
        </w:rPr>
        <w:t>辅助授粉</w:t>
      </w:r>
    </w:p>
    <w:p w:rsidR="007B1999" w:rsidRDefault="00554CAA" w:rsidP="00554CAA">
      <w:pPr>
        <w:ind w:firstLineChars="200" w:firstLine="420"/>
        <w:rPr>
          <w:rFonts w:ascii="宋体" w:hAnsi="宋体"/>
        </w:rPr>
      </w:pPr>
      <w:r w:rsidRPr="00554CAA">
        <w:rPr>
          <w:rFonts w:ascii="宋体" w:hAnsi="宋体" w:hint="eastAsia"/>
        </w:rPr>
        <w:t>种子园开花结实初期，或开花撒粉期遇阴天无风时，采取人工辅助授粉措施。辅助授粉所使用的花粉为人工精选的</w:t>
      </w:r>
      <w:r>
        <w:rPr>
          <w:rFonts w:ascii="宋体" w:hAnsi="宋体"/>
        </w:rPr>
        <w:t>1</w:t>
      </w:r>
      <w:r w:rsidRPr="00554CAA">
        <w:rPr>
          <w:rFonts w:ascii="宋体" w:hAnsi="宋体" w:hint="eastAsia"/>
        </w:rPr>
        <w:t>0</w:t>
      </w:r>
      <w:r>
        <w:rPr>
          <w:rFonts w:ascii="宋体" w:hAnsi="宋体"/>
        </w:rPr>
        <w:t>-2</w:t>
      </w:r>
      <w:r w:rsidRPr="00554CAA">
        <w:rPr>
          <w:rFonts w:ascii="宋体" w:hAnsi="宋体" w:hint="eastAsia"/>
        </w:rPr>
        <w:t>0个优良无性系的混合花粉。授粉时加入3</w:t>
      </w:r>
      <w:r>
        <w:rPr>
          <w:rFonts w:ascii="宋体" w:hAnsi="宋体"/>
        </w:rPr>
        <w:t>-</w:t>
      </w:r>
      <w:r w:rsidRPr="00554CAA">
        <w:rPr>
          <w:rFonts w:ascii="宋体" w:hAnsi="宋体" w:hint="eastAsia"/>
        </w:rPr>
        <w:t>5倍的滑石粉稀</w:t>
      </w:r>
      <w:r w:rsidRPr="00554CAA">
        <w:rPr>
          <w:rFonts w:ascii="宋体" w:hAnsi="宋体" w:hint="eastAsia"/>
        </w:rPr>
        <w:lastRenderedPageBreak/>
        <w:t>释。在盛花期的清晨无风时用喷粉器进行喷施授粉，在种子园盛花期阴天无风用鼓风机吹风进行辅助授粉。按照DB23/T 2364-2019中5.4的规定执行</w:t>
      </w:r>
      <w:r w:rsidR="00AF3D39">
        <w:rPr>
          <w:rFonts w:ascii="宋体" w:hAnsi="宋体" w:hint="eastAsia"/>
        </w:rPr>
        <w:t>。</w:t>
      </w:r>
    </w:p>
    <w:bookmarkEnd w:id="15"/>
    <w:bookmarkEnd w:id="17"/>
    <w:p w:rsidR="007B1999" w:rsidRDefault="00554CAA">
      <w:pPr>
        <w:pStyle w:val="af0"/>
        <w:spacing w:before="156" w:after="156" w:line="360" w:lineRule="auto"/>
      </w:pPr>
      <w:r>
        <w:t>7</w:t>
      </w:r>
      <w:r w:rsidR="00AF3D39">
        <w:rPr>
          <w:rFonts w:hint="eastAsia"/>
        </w:rPr>
        <w:t xml:space="preserve">  生产档案</w:t>
      </w:r>
    </w:p>
    <w:p w:rsidR="007B1999" w:rsidRDefault="00AF3D39" w:rsidP="00094057">
      <w:pPr>
        <w:ind w:firstLineChars="200" w:firstLine="420"/>
        <w:rPr>
          <w:rFonts w:ascii="宋体" w:hAnsi="宋体"/>
        </w:rPr>
      </w:pPr>
      <w:r>
        <w:rPr>
          <w:rFonts w:ascii="宋体" w:hAnsi="宋体" w:hint="eastAsia"/>
        </w:rPr>
        <w:t>应建立生产档案，内容包括:</w:t>
      </w:r>
      <w:r>
        <w:rPr>
          <w:rFonts w:hAnsi="Calibri" w:hint="eastAsia"/>
        </w:rPr>
        <w:t xml:space="preserve"> </w:t>
      </w:r>
      <w:r w:rsidR="00554CAA" w:rsidRPr="00554CAA">
        <w:rPr>
          <w:rFonts w:hAnsi="Calibri" w:hint="eastAsia"/>
          <w:color w:val="000000" w:themeColor="text1"/>
        </w:rPr>
        <w:t>总体规划和区划</w:t>
      </w:r>
      <w:r w:rsidRPr="00554CAA">
        <w:rPr>
          <w:rFonts w:hAnsi="Calibri" w:hint="eastAsia"/>
          <w:color w:val="000000" w:themeColor="text1"/>
        </w:rPr>
        <w:t>、</w:t>
      </w:r>
      <w:r w:rsidR="00554CAA" w:rsidRPr="00554CAA">
        <w:rPr>
          <w:rFonts w:hAnsi="Calibri" w:hint="eastAsia"/>
        </w:rPr>
        <w:t>建园材料的繁殖</w:t>
      </w:r>
      <w:r>
        <w:rPr>
          <w:rFonts w:hAnsi="Calibri" w:hint="eastAsia"/>
        </w:rPr>
        <w:t>、</w:t>
      </w:r>
      <w:r w:rsidR="00554CAA" w:rsidRPr="00554CAA">
        <w:rPr>
          <w:rFonts w:hAnsi="Calibri" w:hint="eastAsia"/>
        </w:rPr>
        <w:t>整地、定植和登记</w:t>
      </w:r>
      <w:r>
        <w:rPr>
          <w:rFonts w:hAnsi="Calibri" w:hint="eastAsia"/>
        </w:rPr>
        <w:t>、</w:t>
      </w:r>
      <w:r w:rsidR="00554CAA" w:rsidRPr="00554CAA">
        <w:rPr>
          <w:rFonts w:hAnsi="Calibri" w:hint="eastAsia"/>
        </w:rPr>
        <w:t>经营管理</w:t>
      </w:r>
      <w:r>
        <w:rPr>
          <w:rFonts w:ascii="宋体" w:hAnsi="宋体" w:hint="eastAsia"/>
        </w:rPr>
        <w:t>等</w:t>
      </w:r>
      <w:r w:rsidR="007A71E5">
        <w:rPr>
          <w:rFonts w:ascii="宋体" w:hAnsi="宋体" w:hint="eastAsia"/>
        </w:rPr>
        <w:t>，应符合</w:t>
      </w:r>
      <w:r w:rsidR="00554CAA" w:rsidRPr="00554CAA">
        <w:rPr>
          <w:rFonts w:ascii="宋体" w:hAnsi="宋体" w:hint="eastAsia"/>
        </w:rPr>
        <w:t>DB23/T 016-2011</w:t>
      </w:r>
      <w:r w:rsidR="007A71E5">
        <w:rPr>
          <w:rFonts w:ascii="宋体" w:hAnsi="宋体" w:hint="eastAsia"/>
        </w:rPr>
        <w:t>规定</w:t>
      </w:r>
      <w:r w:rsidR="00554CAA" w:rsidRPr="00554CAA">
        <w:rPr>
          <w:rFonts w:ascii="宋体" w:hAnsi="宋体" w:hint="eastAsia"/>
        </w:rPr>
        <w:t>。</w:t>
      </w:r>
    </w:p>
    <w:p w:rsidR="00A41695" w:rsidRPr="00094057" w:rsidRDefault="00A41695" w:rsidP="00094057">
      <w:pPr>
        <w:ind w:firstLineChars="200" w:firstLine="420"/>
        <w:rPr>
          <w:rFonts w:ascii="宋体" w:hAnsi="宋体"/>
        </w:rPr>
      </w:pPr>
    </w:p>
    <w:p w:rsidR="007B1999" w:rsidRDefault="00D5467E">
      <w:pPr>
        <w:spacing w:line="360" w:lineRule="auto"/>
        <w:rPr>
          <w:rFonts w:ascii="黑体" w:eastAsia="黑体" w:cs="黑体"/>
          <w:kern w:val="0"/>
        </w:rPr>
      </w:pPr>
      <w:r>
        <w:rPr>
          <w:rFonts w:ascii="黑体" w:eastAsia="黑体" w:hAnsi="黑体"/>
        </w:rPr>
        <w:pict>
          <v:line id="_x0000_s1026" alt="" style="position:absolute;left:0;text-align:left;z-index:251659264;mso-wrap-edited:f;mso-width-percent:0;mso-height-percent:0;mso-wrap-distance-left:9pt;mso-wrap-distance-right:9pt;mso-width-percent:0;mso-height-percent:0;mso-width-relative:page;mso-height-relative:page" from="135.4pt,11.9pt" to="252.2pt,11.9pt" wrapcoords="1 1 157 1 157 1 1 1 1 1" strokeweight="1pt">
            <w10:wrap type="tight"/>
          </v:line>
        </w:pict>
      </w:r>
    </w:p>
    <w:sectPr w:rsidR="007B1999">
      <w:footerReference w:type="first" r:id="rId15"/>
      <w:pgSz w:w="11906" w:h="16838"/>
      <w:pgMar w:top="1440" w:right="1800" w:bottom="1440" w:left="1800" w:header="1134" w:footer="1134"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67E" w:rsidRDefault="00D5467E">
      <w:r>
        <w:separator/>
      </w:r>
    </w:p>
  </w:endnote>
  <w:endnote w:type="continuationSeparator" w:id="0">
    <w:p w:rsidR="00D5467E" w:rsidRDefault="00D5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999" w:rsidRDefault="00AF3D39">
    <w:pPr>
      <w:pStyle w:val="a6"/>
      <w:jc w:val="right"/>
    </w:pPr>
    <w:r>
      <w:fldChar w:fldCharType="begin"/>
    </w:r>
    <w:r>
      <w:instrText>PAGE   \* MERGEFORMAT</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999" w:rsidRDefault="007B1999">
    <w:pPr>
      <w:pStyle w:val="a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999" w:rsidRDefault="00AF3D39">
    <w:pPr>
      <w:pStyle w:val="a6"/>
      <w:jc w:val="right"/>
    </w:pPr>
    <w:r>
      <w:fldChar w:fldCharType="begin"/>
    </w:r>
    <w:r>
      <w:instrText>PAGE   \* MERGEFORMAT</w:instrText>
    </w:r>
    <w:r>
      <w:fldChar w:fldCharType="separate"/>
    </w:r>
    <w:r w:rsidR="00BE7608" w:rsidRPr="00BE7608">
      <w:rPr>
        <w:noProof/>
        <w:lang w:val="zh-CN"/>
      </w:rPr>
      <w:t>2</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999" w:rsidRDefault="00AF3D39">
    <w:pPr>
      <w:pStyle w:val="a6"/>
      <w:jc w:val="right"/>
    </w:pPr>
    <w:r>
      <w:rPr>
        <w:rFonts w:hint="eastAsia"/>
      </w:rPr>
      <w:t>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999" w:rsidRDefault="00AF3D39">
    <w:pPr>
      <w:pStyle w:val="a6"/>
      <w:jc w:val="right"/>
    </w:pPr>
    <w:r>
      <w:rPr>
        <w:rStyle w:val="ab"/>
      </w:rPr>
      <w:fldChar w:fldCharType="begin"/>
    </w:r>
    <w:r>
      <w:rPr>
        <w:rStyle w:val="ab"/>
      </w:rPr>
      <w:instrText xml:space="preserve"> PAGE </w:instrText>
    </w:r>
    <w:r>
      <w:rPr>
        <w:rStyle w:val="ab"/>
      </w:rPr>
      <w:fldChar w:fldCharType="separate"/>
    </w:r>
    <w:r w:rsidR="00BE7608">
      <w:rPr>
        <w:rStyle w:val="ab"/>
        <w:noProof/>
      </w:rPr>
      <w:t>1</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67E" w:rsidRDefault="00D5467E">
      <w:r>
        <w:separator/>
      </w:r>
    </w:p>
  </w:footnote>
  <w:footnote w:type="continuationSeparator" w:id="0">
    <w:p w:rsidR="00D5467E" w:rsidRDefault="00D5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999" w:rsidRDefault="00AF3D39">
    <w:pPr>
      <w:pStyle w:val="af7"/>
    </w:pPr>
    <w:r>
      <w:t>DB</w:t>
    </w:r>
    <w:r>
      <w:rPr>
        <w:rFonts w:hint="eastAsia"/>
      </w:rPr>
      <w:t>23</w:t>
    </w:r>
    <w:r>
      <w:t>/</w:t>
    </w:r>
    <w:r>
      <w:rPr>
        <w:rFonts w:hint="eastAsia"/>
      </w:rPr>
      <w:t xml:space="preserve">T </w:t>
    </w:r>
    <w:r>
      <w:rPr>
        <w:rFonts w:hAnsi="黑体" w:hint="eastAsia"/>
      </w:rPr>
      <w:t>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999" w:rsidRDefault="00AF3D39">
    <w:pPr>
      <w:pStyle w:val="af7"/>
      <w:wordWrap w:val="0"/>
    </w:pPr>
    <w:r>
      <w:t>DB</w:t>
    </w:r>
    <w:r>
      <w:rPr>
        <w:rFonts w:hint="eastAsia"/>
      </w:rPr>
      <w:t>23</w:t>
    </w:r>
    <w:r>
      <w:t>/</w:t>
    </w:r>
    <w:r>
      <w:rPr>
        <w:rFonts w:hint="eastAsia"/>
      </w:rPr>
      <w:t xml:space="preserve">T </w:t>
    </w:r>
    <w:r>
      <w:rPr>
        <w:rFonts w:hAnsi="黑体" w:hint="eastAsia"/>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260FA"/>
    <w:multiLevelType w:val="multilevel"/>
    <w:tmpl w:val="646260FA"/>
    <w:lvl w:ilvl="0">
      <w:start w:val="1"/>
      <w:numFmt w:val="decimal"/>
      <w:pStyle w:val="a"/>
      <w:suff w:val="nothing"/>
      <w:lvlText w:val="表%1　"/>
      <w:lvlJc w:val="left"/>
      <w:pPr>
        <w:ind w:left="3990"/>
      </w:pPr>
      <w:rPr>
        <w:rFonts w:ascii="黑体" w:eastAsia="黑体" w:hAnsi="Times New Roman" w:hint="eastAsia"/>
        <w:b w:val="0"/>
        <w:bCs w:val="0"/>
        <w:i w:val="0"/>
        <w:iCs w:val="0"/>
        <w:sz w:val="21"/>
        <w:szCs w:val="21"/>
      </w:rPr>
    </w:lvl>
    <w:lvl w:ilvl="1">
      <w:start w:val="1"/>
      <w:numFmt w:val="decimal"/>
      <w:lvlText w:val="%1.%2"/>
      <w:lvlJc w:val="left"/>
      <w:pPr>
        <w:tabs>
          <w:tab w:val="left" w:pos="3932"/>
        </w:tabs>
        <w:ind w:left="3932" w:hanging="567"/>
      </w:pPr>
      <w:rPr>
        <w:rFonts w:hint="eastAsia"/>
      </w:rPr>
    </w:lvl>
    <w:lvl w:ilvl="2">
      <w:start w:val="1"/>
      <w:numFmt w:val="decimal"/>
      <w:lvlText w:val="%1.%2.%3"/>
      <w:lvlJc w:val="left"/>
      <w:pPr>
        <w:tabs>
          <w:tab w:val="left" w:pos="4358"/>
        </w:tabs>
        <w:ind w:left="4358" w:hanging="567"/>
      </w:pPr>
      <w:rPr>
        <w:rFonts w:hint="eastAsia"/>
      </w:rPr>
    </w:lvl>
    <w:lvl w:ilvl="3">
      <w:start w:val="1"/>
      <w:numFmt w:val="decimal"/>
      <w:lvlText w:val="%1.%2.%3.%4"/>
      <w:lvlJc w:val="left"/>
      <w:pPr>
        <w:tabs>
          <w:tab w:val="left" w:pos="4924"/>
        </w:tabs>
        <w:ind w:left="4924" w:hanging="708"/>
      </w:pPr>
      <w:rPr>
        <w:rFonts w:hint="eastAsia"/>
      </w:rPr>
    </w:lvl>
    <w:lvl w:ilvl="4">
      <w:start w:val="1"/>
      <w:numFmt w:val="decimal"/>
      <w:lvlText w:val="%1.%2.%3.%4.%5"/>
      <w:lvlJc w:val="left"/>
      <w:pPr>
        <w:tabs>
          <w:tab w:val="left" w:pos="5491"/>
        </w:tabs>
        <w:ind w:left="5491" w:hanging="850"/>
      </w:pPr>
      <w:rPr>
        <w:rFonts w:hint="eastAsia"/>
      </w:rPr>
    </w:lvl>
    <w:lvl w:ilvl="5">
      <w:start w:val="1"/>
      <w:numFmt w:val="decimal"/>
      <w:lvlText w:val="%1.%2.%3.%4.%5.%6"/>
      <w:lvlJc w:val="left"/>
      <w:pPr>
        <w:tabs>
          <w:tab w:val="left" w:pos="6200"/>
        </w:tabs>
        <w:ind w:left="6200" w:hanging="1134"/>
      </w:pPr>
      <w:rPr>
        <w:rFonts w:hint="eastAsia"/>
      </w:rPr>
    </w:lvl>
    <w:lvl w:ilvl="6">
      <w:start w:val="1"/>
      <w:numFmt w:val="decimal"/>
      <w:lvlText w:val="%1.%2.%3.%4.%5.%6.%7"/>
      <w:lvlJc w:val="left"/>
      <w:pPr>
        <w:tabs>
          <w:tab w:val="left" w:pos="6767"/>
        </w:tabs>
        <w:ind w:left="6767" w:hanging="1276"/>
      </w:pPr>
      <w:rPr>
        <w:rFonts w:hint="eastAsia"/>
      </w:rPr>
    </w:lvl>
    <w:lvl w:ilvl="7">
      <w:start w:val="1"/>
      <w:numFmt w:val="decimal"/>
      <w:lvlText w:val="%1.%2.%3.%4.%5.%6.%7.%8"/>
      <w:lvlJc w:val="left"/>
      <w:pPr>
        <w:tabs>
          <w:tab w:val="left" w:pos="7334"/>
        </w:tabs>
        <w:ind w:left="7334" w:hanging="1418"/>
      </w:pPr>
      <w:rPr>
        <w:rFonts w:hint="eastAsia"/>
      </w:rPr>
    </w:lvl>
    <w:lvl w:ilvl="8">
      <w:start w:val="1"/>
      <w:numFmt w:val="decimal"/>
      <w:lvlText w:val="%1.%2.%3.%4.%5.%6.%7.%8.%9"/>
      <w:lvlJc w:val="left"/>
      <w:pPr>
        <w:tabs>
          <w:tab w:val="left" w:pos="8042"/>
        </w:tabs>
        <w:ind w:left="8042" w:hanging="1700"/>
      </w:pPr>
      <w:rPr>
        <w:rFonts w:hint="eastAsia"/>
      </w:rPr>
    </w:lvl>
  </w:abstractNum>
  <w:abstractNum w:abstractNumId="1" w15:restartNumberingAfterBreak="0">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embedSystemFonts/>
  <w:bordersDoNotSurroundHeader/>
  <w:bordersDoNotSurroundFooter/>
  <w:proofState w:spelling="clean"/>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E0E70"/>
    <w:rsid w:val="000035EA"/>
    <w:rsid w:val="000038D0"/>
    <w:rsid w:val="00004E23"/>
    <w:rsid w:val="00010E64"/>
    <w:rsid w:val="0001680F"/>
    <w:rsid w:val="000217AF"/>
    <w:rsid w:val="00021FE9"/>
    <w:rsid w:val="00023A48"/>
    <w:rsid w:val="00030BC1"/>
    <w:rsid w:val="00033381"/>
    <w:rsid w:val="00045796"/>
    <w:rsid w:val="00050982"/>
    <w:rsid w:val="00063EEF"/>
    <w:rsid w:val="000770B1"/>
    <w:rsid w:val="0008003B"/>
    <w:rsid w:val="00081192"/>
    <w:rsid w:val="00081B48"/>
    <w:rsid w:val="0008610D"/>
    <w:rsid w:val="000867E5"/>
    <w:rsid w:val="00090850"/>
    <w:rsid w:val="00094057"/>
    <w:rsid w:val="00097862"/>
    <w:rsid w:val="000A0073"/>
    <w:rsid w:val="000A2164"/>
    <w:rsid w:val="000A57B5"/>
    <w:rsid w:val="000A6926"/>
    <w:rsid w:val="000F0703"/>
    <w:rsid w:val="00105459"/>
    <w:rsid w:val="00112886"/>
    <w:rsid w:val="0011575C"/>
    <w:rsid w:val="0012070E"/>
    <w:rsid w:val="001253E3"/>
    <w:rsid w:val="00144898"/>
    <w:rsid w:val="00150D9E"/>
    <w:rsid w:val="001526CF"/>
    <w:rsid w:val="00165A15"/>
    <w:rsid w:val="00167E94"/>
    <w:rsid w:val="00173355"/>
    <w:rsid w:val="00174182"/>
    <w:rsid w:val="00182751"/>
    <w:rsid w:val="001A0CFA"/>
    <w:rsid w:val="001B6693"/>
    <w:rsid w:val="001C65AF"/>
    <w:rsid w:val="001E2B84"/>
    <w:rsid w:val="00206E6A"/>
    <w:rsid w:val="00211992"/>
    <w:rsid w:val="00213506"/>
    <w:rsid w:val="00217F4F"/>
    <w:rsid w:val="00226ED9"/>
    <w:rsid w:val="00231722"/>
    <w:rsid w:val="00237A8C"/>
    <w:rsid w:val="002450EC"/>
    <w:rsid w:val="0025103D"/>
    <w:rsid w:val="00257FCB"/>
    <w:rsid w:val="00260939"/>
    <w:rsid w:val="00260E64"/>
    <w:rsid w:val="0026244B"/>
    <w:rsid w:val="0026393A"/>
    <w:rsid w:val="00265E87"/>
    <w:rsid w:val="0027339D"/>
    <w:rsid w:val="00291357"/>
    <w:rsid w:val="002956AB"/>
    <w:rsid w:val="002A006C"/>
    <w:rsid w:val="002B52F5"/>
    <w:rsid w:val="002B72FC"/>
    <w:rsid w:val="002C575B"/>
    <w:rsid w:val="002D0309"/>
    <w:rsid w:val="002E39B8"/>
    <w:rsid w:val="002E5901"/>
    <w:rsid w:val="002E61F3"/>
    <w:rsid w:val="002F5A70"/>
    <w:rsid w:val="00303BBF"/>
    <w:rsid w:val="003074D7"/>
    <w:rsid w:val="0031231F"/>
    <w:rsid w:val="003258A7"/>
    <w:rsid w:val="00326450"/>
    <w:rsid w:val="0033455D"/>
    <w:rsid w:val="00345491"/>
    <w:rsid w:val="00346821"/>
    <w:rsid w:val="00362E0A"/>
    <w:rsid w:val="003666F7"/>
    <w:rsid w:val="00394B16"/>
    <w:rsid w:val="003A3551"/>
    <w:rsid w:val="003B666C"/>
    <w:rsid w:val="003C2325"/>
    <w:rsid w:val="003F48F6"/>
    <w:rsid w:val="003F4D5E"/>
    <w:rsid w:val="003F63EB"/>
    <w:rsid w:val="00402727"/>
    <w:rsid w:val="00402F1B"/>
    <w:rsid w:val="00404751"/>
    <w:rsid w:val="00404FB4"/>
    <w:rsid w:val="00411F4B"/>
    <w:rsid w:val="0041339A"/>
    <w:rsid w:val="00420AC7"/>
    <w:rsid w:val="00435012"/>
    <w:rsid w:val="00440F6A"/>
    <w:rsid w:val="00443278"/>
    <w:rsid w:val="004445A8"/>
    <w:rsid w:val="00444B37"/>
    <w:rsid w:val="00452700"/>
    <w:rsid w:val="00460C18"/>
    <w:rsid w:val="004800DB"/>
    <w:rsid w:val="004825B4"/>
    <w:rsid w:val="00482658"/>
    <w:rsid w:val="004930B2"/>
    <w:rsid w:val="004B2E77"/>
    <w:rsid w:val="004C491A"/>
    <w:rsid w:val="004C5456"/>
    <w:rsid w:val="004C5BF9"/>
    <w:rsid w:val="004D1176"/>
    <w:rsid w:val="004E699C"/>
    <w:rsid w:val="005001CB"/>
    <w:rsid w:val="00505787"/>
    <w:rsid w:val="005209BC"/>
    <w:rsid w:val="00520F38"/>
    <w:rsid w:val="0052572A"/>
    <w:rsid w:val="00540806"/>
    <w:rsid w:val="0054434A"/>
    <w:rsid w:val="00554CAA"/>
    <w:rsid w:val="0056275B"/>
    <w:rsid w:val="00562945"/>
    <w:rsid w:val="00567DC9"/>
    <w:rsid w:val="005767E6"/>
    <w:rsid w:val="00580A9F"/>
    <w:rsid w:val="00582B69"/>
    <w:rsid w:val="00586006"/>
    <w:rsid w:val="005A148B"/>
    <w:rsid w:val="005A6360"/>
    <w:rsid w:val="005B1C7E"/>
    <w:rsid w:val="005C759C"/>
    <w:rsid w:val="005D7B7C"/>
    <w:rsid w:val="005F008E"/>
    <w:rsid w:val="00603941"/>
    <w:rsid w:val="006170FA"/>
    <w:rsid w:val="00621EA2"/>
    <w:rsid w:val="00632A79"/>
    <w:rsid w:val="006356CE"/>
    <w:rsid w:val="0064401E"/>
    <w:rsid w:val="00646F2B"/>
    <w:rsid w:val="00650026"/>
    <w:rsid w:val="006540D5"/>
    <w:rsid w:val="00655178"/>
    <w:rsid w:val="006655E9"/>
    <w:rsid w:val="00665BE3"/>
    <w:rsid w:val="00667206"/>
    <w:rsid w:val="0068544C"/>
    <w:rsid w:val="006B2B53"/>
    <w:rsid w:val="006D19D3"/>
    <w:rsid w:val="006D5557"/>
    <w:rsid w:val="006E36F4"/>
    <w:rsid w:val="006F1511"/>
    <w:rsid w:val="00711959"/>
    <w:rsid w:val="00711AB0"/>
    <w:rsid w:val="007174F0"/>
    <w:rsid w:val="00717EF3"/>
    <w:rsid w:val="00751C72"/>
    <w:rsid w:val="007556D2"/>
    <w:rsid w:val="007614DA"/>
    <w:rsid w:val="007710C2"/>
    <w:rsid w:val="00774CFA"/>
    <w:rsid w:val="00776A50"/>
    <w:rsid w:val="00791893"/>
    <w:rsid w:val="007922E7"/>
    <w:rsid w:val="00793E29"/>
    <w:rsid w:val="0079646F"/>
    <w:rsid w:val="0079678E"/>
    <w:rsid w:val="007A71E5"/>
    <w:rsid w:val="007B0B22"/>
    <w:rsid w:val="007B1999"/>
    <w:rsid w:val="007C0DE4"/>
    <w:rsid w:val="007D485F"/>
    <w:rsid w:val="007D58BF"/>
    <w:rsid w:val="007D6CD4"/>
    <w:rsid w:val="007F305A"/>
    <w:rsid w:val="007F4060"/>
    <w:rsid w:val="0080643F"/>
    <w:rsid w:val="00807ED6"/>
    <w:rsid w:val="00815B01"/>
    <w:rsid w:val="00824B70"/>
    <w:rsid w:val="00827D81"/>
    <w:rsid w:val="00827E0F"/>
    <w:rsid w:val="00835510"/>
    <w:rsid w:val="00847CBC"/>
    <w:rsid w:val="008578B1"/>
    <w:rsid w:val="00862764"/>
    <w:rsid w:val="00871728"/>
    <w:rsid w:val="00892498"/>
    <w:rsid w:val="00895E78"/>
    <w:rsid w:val="008B211A"/>
    <w:rsid w:val="008B24FC"/>
    <w:rsid w:val="008C6C15"/>
    <w:rsid w:val="008D6361"/>
    <w:rsid w:val="008E1AFA"/>
    <w:rsid w:val="008E48A1"/>
    <w:rsid w:val="0090112A"/>
    <w:rsid w:val="00907FFB"/>
    <w:rsid w:val="00921244"/>
    <w:rsid w:val="00923AD3"/>
    <w:rsid w:val="00941107"/>
    <w:rsid w:val="0095016B"/>
    <w:rsid w:val="00971300"/>
    <w:rsid w:val="009721DA"/>
    <w:rsid w:val="009728EE"/>
    <w:rsid w:val="009775DB"/>
    <w:rsid w:val="009852D1"/>
    <w:rsid w:val="009A4B7D"/>
    <w:rsid w:val="009B0EFD"/>
    <w:rsid w:val="009B464C"/>
    <w:rsid w:val="009C49D6"/>
    <w:rsid w:val="009E0E70"/>
    <w:rsid w:val="009E1284"/>
    <w:rsid w:val="009F01EC"/>
    <w:rsid w:val="009F0CB6"/>
    <w:rsid w:val="009F15EA"/>
    <w:rsid w:val="009F6DC7"/>
    <w:rsid w:val="00A06CC0"/>
    <w:rsid w:val="00A06FD6"/>
    <w:rsid w:val="00A10BEE"/>
    <w:rsid w:val="00A3097A"/>
    <w:rsid w:val="00A31A48"/>
    <w:rsid w:val="00A32F2A"/>
    <w:rsid w:val="00A41695"/>
    <w:rsid w:val="00A45857"/>
    <w:rsid w:val="00A50F49"/>
    <w:rsid w:val="00A54E74"/>
    <w:rsid w:val="00A60BC8"/>
    <w:rsid w:val="00A67B0F"/>
    <w:rsid w:val="00A84A05"/>
    <w:rsid w:val="00A9721E"/>
    <w:rsid w:val="00AA5BCC"/>
    <w:rsid w:val="00AB28CF"/>
    <w:rsid w:val="00AC0D45"/>
    <w:rsid w:val="00AC6884"/>
    <w:rsid w:val="00AC6DD0"/>
    <w:rsid w:val="00AD5F3B"/>
    <w:rsid w:val="00AE7379"/>
    <w:rsid w:val="00AF228E"/>
    <w:rsid w:val="00AF3D39"/>
    <w:rsid w:val="00B058E0"/>
    <w:rsid w:val="00B10DAB"/>
    <w:rsid w:val="00B169DC"/>
    <w:rsid w:val="00B20651"/>
    <w:rsid w:val="00B21890"/>
    <w:rsid w:val="00B42567"/>
    <w:rsid w:val="00B5256D"/>
    <w:rsid w:val="00B61C28"/>
    <w:rsid w:val="00B637D9"/>
    <w:rsid w:val="00B672FE"/>
    <w:rsid w:val="00B70E1F"/>
    <w:rsid w:val="00B8392E"/>
    <w:rsid w:val="00B83980"/>
    <w:rsid w:val="00B90E2E"/>
    <w:rsid w:val="00B945E4"/>
    <w:rsid w:val="00BA02B8"/>
    <w:rsid w:val="00BB112D"/>
    <w:rsid w:val="00BB2481"/>
    <w:rsid w:val="00BC10A2"/>
    <w:rsid w:val="00BC5DD6"/>
    <w:rsid w:val="00BD0B49"/>
    <w:rsid w:val="00BE7608"/>
    <w:rsid w:val="00BF1828"/>
    <w:rsid w:val="00BF1C97"/>
    <w:rsid w:val="00BF66FC"/>
    <w:rsid w:val="00C1046E"/>
    <w:rsid w:val="00C12297"/>
    <w:rsid w:val="00C13B13"/>
    <w:rsid w:val="00C154BD"/>
    <w:rsid w:val="00C16574"/>
    <w:rsid w:val="00C27259"/>
    <w:rsid w:val="00C318AF"/>
    <w:rsid w:val="00C33FE4"/>
    <w:rsid w:val="00C5135E"/>
    <w:rsid w:val="00C55EC8"/>
    <w:rsid w:val="00C60B6D"/>
    <w:rsid w:val="00C62517"/>
    <w:rsid w:val="00C64845"/>
    <w:rsid w:val="00C77734"/>
    <w:rsid w:val="00C975D8"/>
    <w:rsid w:val="00C97BC9"/>
    <w:rsid w:val="00CB7272"/>
    <w:rsid w:val="00CB7A81"/>
    <w:rsid w:val="00CC6382"/>
    <w:rsid w:val="00CD6610"/>
    <w:rsid w:val="00D215EC"/>
    <w:rsid w:val="00D265CB"/>
    <w:rsid w:val="00D330CB"/>
    <w:rsid w:val="00D40069"/>
    <w:rsid w:val="00D445B3"/>
    <w:rsid w:val="00D51A08"/>
    <w:rsid w:val="00D5467E"/>
    <w:rsid w:val="00D559B8"/>
    <w:rsid w:val="00D60F01"/>
    <w:rsid w:val="00D64376"/>
    <w:rsid w:val="00D731EC"/>
    <w:rsid w:val="00D75786"/>
    <w:rsid w:val="00D85FCF"/>
    <w:rsid w:val="00D90D24"/>
    <w:rsid w:val="00DA6457"/>
    <w:rsid w:val="00DC52F8"/>
    <w:rsid w:val="00DD4CF5"/>
    <w:rsid w:val="00DD5833"/>
    <w:rsid w:val="00DE542A"/>
    <w:rsid w:val="00DF6AE1"/>
    <w:rsid w:val="00E04F70"/>
    <w:rsid w:val="00E05173"/>
    <w:rsid w:val="00E07BE9"/>
    <w:rsid w:val="00E10AB6"/>
    <w:rsid w:val="00E115EC"/>
    <w:rsid w:val="00E155E9"/>
    <w:rsid w:val="00E2045C"/>
    <w:rsid w:val="00E31020"/>
    <w:rsid w:val="00E32FE4"/>
    <w:rsid w:val="00E34582"/>
    <w:rsid w:val="00E36F19"/>
    <w:rsid w:val="00E422E8"/>
    <w:rsid w:val="00E43634"/>
    <w:rsid w:val="00E4708E"/>
    <w:rsid w:val="00E54D5D"/>
    <w:rsid w:val="00E57AC7"/>
    <w:rsid w:val="00E626C4"/>
    <w:rsid w:val="00E71545"/>
    <w:rsid w:val="00E76071"/>
    <w:rsid w:val="00E8078A"/>
    <w:rsid w:val="00E83EB8"/>
    <w:rsid w:val="00E874A9"/>
    <w:rsid w:val="00E97FAE"/>
    <w:rsid w:val="00EA4119"/>
    <w:rsid w:val="00EA5D80"/>
    <w:rsid w:val="00EB4DDB"/>
    <w:rsid w:val="00EC4BF9"/>
    <w:rsid w:val="00EC5C3F"/>
    <w:rsid w:val="00EC68FC"/>
    <w:rsid w:val="00EC71A4"/>
    <w:rsid w:val="00ED007F"/>
    <w:rsid w:val="00ED17A7"/>
    <w:rsid w:val="00ED4F87"/>
    <w:rsid w:val="00ED5DA0"/>
    <w:rsid w:val="00EE3C82"/>
    <w:rsid w:val="00EE404E"/>
    <w:rsid w:val="00EE70E6"/>
    <w:rsid w:val="00F068F1"/>
    <w:rsid w:val="00F06C17"/>
    <w:rsid w:val="00F06F4A"/>
    <w:rsid w:val="00F077B1"/>
    <w:rsid w:val="00F11A97"/>
    <w:rsid w:val="00F16815"/>
    <w:rsid w:val="00F22805"/>
    <w:rsid w:val="00F30762"/>
    <w:rsid w:val="00F4183A"/>
    <w:rsid w:val="00F439DE"/>
    <w:rsid w:val="00F46925"/>
    <w:rsid w:val="00F51820"/>
    <w:rsid w:val="00F54AE0"/>
    <w:rsid w:val="00F56121"/>
    <w:rsid w:val="00F64E78"/>
    <w:rsid w:val="00F65830"/>
    <w:rsid w:val="00F708D9"/>
    <w:rsid w:val="00F76052"/>
    <w:rsid w:val="00F809D2"/>
    <w:rsid w:val="00F80E0E"/>
    <w:rsid w:val="00F810A4"/>
    <w:rsid w:val="00F97573"/>
    <w:rsid w:val="00FA16D1"/>
    <w:rsid w:val="00FC52FE"/>
    <w:rsid w:val="00FD3762"/>
    <w:rsid w:val="00FE6210"/>
    <w:rsid w:val="00FF0423"/>
    <w:rsid w:val="00FF7355"/>
    <w:rsid w:val="012B2A51"/>
    <w:rsid w:val="021E044F"/>
    <w:rsid w:val="082B1338"/>
    <w:rsid w:val="0AD000B7"/>
    <w:rsid w:val="0B402AA7"/>
    <w:rsid w:val="0CC60BD0"/>
    <w:rsid w:val="127D62BA"/>
    <w:rsid w:val="1311130A"/>
    <w:rsid w:val="19411697"/>
    <w:rsid w:val="19F676A0"/>
    <w:rsid w:val="1E61572A"/>
    <w:rsid w:val="21887EC6"/>
    <w:rsid w:val="24B41C43"/>
    <w:rsid w:val="27CE2D91"/>
    <w:rsid w:val="28C7179D"/>
    <w:rsid w:val="295920D7"/>
    <w:rsid w:val="2A832680"/>
    <w:rsid w:val="317D515E"/>
    <w:rsid w:val="3320478E"/>
    <w:rsid w:val="3DA7695B"/>
    <w:rsid w:val="41C37B33"/>
    <w:rsid w:val="44181E13"/>
    <w:rsid w:val="44E404CD"/>
    <w:rsid w:val="463152D9"/>
    <w:rsid w:val="463C6FED"/>
    <w:rsid w:val="48C16552"/>
    <w:rsid w:val="4C4F0875"/>
    <w:rsid w:val="4FBF1FBB"/>
    <w:rsid w:val="51473DC0"/>
    <w:rsid w:val="549D59AC"/>
    <w:rsid w:val="57814128"/>
    <w:rsid w:val="5C306B08"/>
    <w:rsid w:val="5F0333E3"/>
    <w:rsid w:val="5FD308A2"/>
    <w:rsid w:val="66260D08"/>
    <w:rsid w:val="676D388F"/>
    <w:rsid w:val="6D7D7297"/>
    <w:rsid w:val="6EA43502"/>
    <w:rsid w:val="74AA5B09"/>
    <w:rsid w:val="767D0B7C"/>
    <w:rsid w:val="7BE024A1"/>
    <w:rsid w:val="7E9B5F9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fillcolor="white">
      <v:fill color="white"/>
    </o:shapedefaults>
    <o:shapelayout v:ext="edit">
      <o:idmap v:ext="edit" data="1"/>
    </o:shapelayout>
  </w:shapeDefaults>
  <w:decimalSymbol w:val="."/>
  <w:listSeparator w:val=","/>
  <w14:docId w14:val="6BB97955"/>
  <w15:docId w15:val="{99D14F5C-040B-3E4F-941D-B396291C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qFormat="1"/>
    <w:lsdException w:name="toc 2" w:locked="1" w:semiHidden="1" w:uiPriority="39"/>
    <w:lsdException w:name="toc 3" w:locked="1"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21"/>
      <w:szCs w:val="21"/>
    </w:rPr>
  </w:style>
  <w:style w:type="paragraph" w:styleId="1">
    <w:name w:val="heading 1"/>
    <w:basedOn w:val="a0"/>
    <w:next w:val="a0"/>
    <w:link w:val="10"/>
    <w:uiPriority w:val="99"/>
    <w:qFormat/>
    <w:pPr>
      <w:keepNext/>
      <w:keepLines/>
      <w:spacing w:before="340" w:after="330" w:line="576" w:lineRule="auto"/>
      <w:outlineLvl w:val="0"/>
    </w:pPr>
    <w:rPr>
      <w:b/>
      <w:bCs/>
      <w:kern w:val="44"/>
      <w:sz w:val="44"/>
      <w:szCs w:val="44"/>
    </w:rPr>
  </w:style>
  <w:style w:type="paragraph" w:styleId="3">
    <w:name w:val="heading 3"/>
    <w:basedOn w:val="a0"/>
    <w:next w:val="a0"/>
    <w:link w:val="30"/>
    <w:semiHidden/>
    <w:unhideWhenUsed/>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3">
    <w:name w:val="toc 3"/>
    <w:basedOn w:val="a0"/>
    <w:next w:val="a0"/>
    <w:uiPriority w:val="99"/>
    <w:semiHidden/>
    <w:locked/>
    <w:pPr>
      <w:tabs>
        <w:tab w:val="right" w:leader="dot" w:pos="8296"/>
      </w:tabs>
      <w:ind w:leftChars="200" w:left="420"/>
    </w:pPr>
  </w:style>
  <w:style w:type="paragraph" w:styleId="a4">
    <w:name w:val="Balloon Text"/>
    <w:basedOn w:val="a0"/>
    <w:link w:val="a5"/>
    <w:uiPriority w:val="99"/>
    <w:semiHidden/>
    <w:qFormat/>
    <w:rPr>
      <w:sz w:val="18"/>
      <w:szCs w:val="18"/>
    </w:rPr>
  </w:style>
  <w:style w:type="paragraph" w:styleId="a6">
    <w:name w:val="footer"/>
    <w:basedOn w:val="a0"/>
    <w:link w:val="a7"/>
    <w:uiPriority w:val="99"/>
    <w:pPr>
      <w:tabs>
        <w:tab w:val="center" w:pos="4153"/>
        <w:tab w:val="right" w:pos="8306"/>
      </w:tabs>
      <w:snapToGrid w:val="0"/>
      <w:jc w:val="left"/>
    </w:pPr>
    <w:rPr>
      <w:sz w:val="18"/>
      <w:szCs w:val="18"/>
    </w:rPr>
  </w:style>
  <w:style w:type="paragraph" w:styleId="a8">
    <w:name w:val="header"/>
    <w:basedOn w:val="a0"/>
    <w:link w:val="a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locked/>
  </w:style>
  <w:style w:type="paragraph" w:styleId="TOC2">
    <w:name w:val="toc 2"/>
    <w:basedOn w:val="a0"/>
    <w:next w:val="a0"/>
    <w:uiPriority w:val="39"/>
    <w:locked/>
    <w:pPr>
      <w:tabs>
        <w:tab w:val="right" w:leader="dot" w:pos="8296"/>
      </w:tabs>
    </w:pPr>
  </w:style>
  <w:style w:type="paragraph" w:styleId="aa">
    <w:name w:val="Normal (Web)"/>
    <w:basedOn w:val="a0"/>
    <w:uiPriority w:val="99"/>
    <w:semiHidden/>
    <w:unhideWhenUsed/>
    <w:qFormat/>
    <w:pPr>
      <w:spacing w:beforeAutospacing="1" w:afterAutospacing="1"/>
      <w:jc w:val="left"/>
    </w:pPr>
    <w:rPr>
      <w:kern w:val="0"/>
      <w:sz w:val="24"/>
    </w:rPr>
  </w:style>
  <w:style w:type="character" w:styleId="ab">
    <w:name w:val="page number"/>
    <w:basedOn w:val="a1"/>
    <w:uiPriority w:val="99"/>
  </w:style>
  <w:style w:type="character" w:styleId="ac">
    <w:name w:val="Emphasis"/>
    <w:basedOn w:val="a1"/>
    <w:qFormat/>
    <w:locked/>
    <w:rPr>
      <w:i/>
    </w:rPr>
  </w:style>
  <w:style w:type="character" w:styleId="ad">
    <w:name w:val="Hyperlink"/>
    <w:uiPriority w:val="99"/>
    <w:qFormat/>
    <w:rPr>
      <w:color w:val="0000FF"/>
      <w:u w:val="single"/>
    </w:rPr>
  </w:style>
  <w:style w:type="character" w:styleId="ae">
    <w:name w:val="annotation reference"/>
    <w:uiPriority w:val="99"/>
    <w:semiHidden/>
    <w:qFormat/>
    <w:rPr>
      <w:sz w:val="21"/>
      <w:szCs w:val="21"/>
    </w:rPr>
  </w:style>
  <w:style w:type="character" w:customStyle="1" w:styleId="10">
    <w:name w:val="标题 1 字符"/>
    <w:link w:val="1"/>
    <w:uiPriority w:val="9"/>
    <w:qFormat/>
    <w:rPr>
      <w:rFonts w:ascii="Times New Roman" w:hAnsi="Times New Roman"/>
      <w:b/>
      <w:bCs/>
      <w:kern w:val="44"/>
      <w:sz w:val="44"/>
      <w:szCs w:val="44"/>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Times New Roman" w:eastAsia="宋体" w:hAnsi="Times New Roman" w:cs="Times New Roman"/>
      <w:sz w:val="18"/>
      <w:szCs w:val="18"/>
    </w:rPr>
  </w:style>
  <w:style w:type="paragraph" w:customStyle="1" w:styleId="af">
    <w:name w:val="段"/>
    <w:link w:val="Char"/>
    <w:qFormat/>
    <w:pPr>
      <w:tabs>
        <w:tab w:val="center" w:pos="4201"/>
        <w:tab w:val="right" w:leader="dot" w:pos="9298"/>
      </w:tabs>
      <w:autoSpaceDE w:val="0"/>
      <w:autoSpaceDN w:val="0"/>
      <w:ind w:firstLineChars="200" w:firstLine="420"/>
      <w:jc w:val="both"/>
    </w:pPr>
    <w:rPr>
      <w:rFonts w:ascii="宋体" w:cs="宋体"/>
      <w:sz w:val="21"/>
      <w:szCs w:val="21"/>
    </w:rPr>
  </w:style>
  <w:style w:type="character" w:customStyle="1" w:styleId="Char">
    <w:name w:val="段 Char"/>
    <w:link w:val="af"/>
    <w:qFormat/>
    <w:locked/>
    <w:rPr>
      <w:rFonts w:ascii="宋体" w:eastAsia="宋体" w:hAnsi="Times New Roman" w:cs="宋体"/>
      <w:sz w:val="21"/>
      <w:szCs w:val="21"/>
      <w:lang w:val="en-US" w:eastAsia="zh-CN"/>
    </w:rPr>
  </w:style>
  <w:style w:type="paragraph" w:customStyle="1" w:styleId="af0">
    <w:name w:val="一级条标题"/>
    <w:next w:val="af"/>
    <w:link w:val="Char0"/>
    <w:qFormat/>
    <w:pPr>
      <w:spacing w:beforeLines="50" w:afterLines="50"/>
      <w:outlineLvl w:val="2"/>
    </w:pPr>
    <w:rPr>
      <w:rFonts w:ascii="黑体" w:eastAsia="黑体" w:cs="黑体"/>
      <w:sz w:val="21"/>
      <w:szCs w:val="21"/>
    </w:rPr>
  </w:style>
  <w:style w:type="paragraph" w:customStyle="1" w:styleId="af1">
    <w:name w:val="章标题"/>
    <w:next w:val="af"/>
    <w:qFormat/>
    <w:pPr>
      <w:spacing w:beforeLines="100" w:afterLines="100"/>
      <w:jc w:val="both"/>
      <w:outlineLvl w:val="1"/>
    </w:pPr>
    <w:rPr>
      <w:rFonts w:ascii="黑体" w:eastAsia="黑体" w:cs="黑体"/>
      <w:sz w:val="21"/>
      <w:szCs w:val="21"/>
    </w:rPr>
  </w:style>
  <w:style w:type="paragraph" w:customStyle="1" w:styleId="af2">
    <w:name w:val="二级条标题"/>
    <w:basedOn w:val="af0"/>
    <w:next w:val="af"/>
    <w:qFormat/>
    <w:pPr>
      <w:spacing w:before="50" w:after="50"/>
      <w:outlineLvl w:val="3"/>
    </w:pPr>
  </w:style>
  <w:style w:type="paragraph" w:customStyle="1" w:styleId="af3">
    <w:name w:val="目次、标准名称标题"/>
    <w:basedOn w:val="a0"/>
    <w:next w:val="af"/>
    <w:uiPriority w:val="99"/>
    <w:qFormat/>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f4">
    <w:name w:val="三级条标题"/>
    <w:basedOn w:val="af2"/>
    <w:next w:val="af"/>
    <w:qFormat/>
    <w:pPr>
      <w:outlineLvl w:val="4"/>
    </w:pPr>
  </w:style>
  <w:style w:type="paragraph" w:customStyle="1" w:styleId="af5">
    <w:name w:val="四级条标题"/>
    <w:basedOn w:val="af4"/>
    <w:next w:val="af"/>
    <w:qFormat/>
    <w:pPr>
      <w:outlineLvl w:val="5"/>
    </w:pPr>
  </w:style>
  <w:style w:type="paragraph" w:customStyle="1" w:styleId="af6">
    <w:name w:val="五级条标题"/>
    <w:basedOn w:val="af5"/>
    <w:next w:val="af"/>
    <w:qFormat/>
    <w:pPr>
      <w:outlineLvl w:val="6"/>
    </w:pPr>
  </w:style>
  <w:style w:type="paragraph" w:customStyle="1" w:styleId="a">
    <w:name w:val="正文表标题"/>
    <w:next w:val="af"/>
    <w:uiPriority w:val="99"/>
    <w:qFormat/>
    <w:pPr>
      <w:numPr>
        <w:numId w:val="1"/>
      </w:numPr>
      <w:tabs>
        <w:tab w:val="left" w:pos="360"/>
      </w:tabs>
      <w:spacing w:beforeLines="50" w:afterLines="50"/>
      <w:jc w:val="center"/>
    </w:pPr>
    <w:rPr>
      <w:rFonts w:ascii="黑体" w:eastAsia="黑体" w:cs="黑体"/>
      <w:sz w:val="21"/>
      <w:szCs w:val="21"/>
    </w:rPr>
  </w:style>
  <w:style w:type="paragraph" w:customStyle="1" w:styleId="af7">
    <w:name w:val="标准书眉_奇数页"/>
    <w:next w:val="a0"/>
    <w:qFormat/>
    <w:pPr>
      <w:tabs>
        <w:tab w:val="center" w:pos="4154"/>
        <w:tab w:val="right" w:pos="8306"/>
      </w:tabs>
      <w:spacing w:after="220"/>
      <w:jc w:val="right"/>
    </w:pPr>
    <w:rPr>
      <w:rFonts w:ascii="黑体" w:eastAsia="黑体" w:cs="黑体"/>
      <w:sz w:val="21"/>
      <w:szCs w:val="21"/>
    </w:rPr>
  </w:style>
  <w:style w:type="paragraph" w:customStyle="1" w:styleId="WPSOffice1">
    <w:name w:val="WPSOffice手动目录 1"/>
    <w:uiPriority w:val="99"/>
    <w:qFormat/>
    <w:rPr>
      <w:rFonts w:ascii="Calibri" w:hAnsi="Calibri" w:cs="Calibri"/>
    </w:rPr>
  </w:style>
  <w:style w:type="paragraph" w:customStyle="1" w:styleId="WPSOffice2">
    <w:name w:val="WPSOffice手动目录 2"/>
    <w:uiPriority w:val="99"/>
    <w:pPr>
      <w:ind w:leftChars="200" w:left="200"/>
    </w:pPr>
    <w:rPr>
      <w:rFonts w:ascii="Calibri" w:hAnsi="Calibri" w:cs="Calibri"/>
    </w:rPr>
  </w:style>
  <w:style w:type="paragraph" w:customStyle="1" w:styleId="WPSOffice3">
    <w:name w:val="WPSOffice手动目录 3"/>
    <w:uiPriority w:val="99"/>
    <w:qFormat/>
    <w:pPr>
      <w:ind w:leftChars="400" w:left="400"/>
    </w:pPr>
    <w:rPr>
      <w:rFonts w:ascii="Calibri" w:hAnsi="Calibri" w:cs="Calibri"/>
    </w:rPr>
  </w:style>
  <w:style w:type="character" w:customStyle="1" w:styleId="a5">
    <w:name w:val="批注框文本 字符"/>
    <w:link w:val="a4"/>
    <w:uiPriority w:val="99"/>
    <w:semiHidden/>
    <w:locked/>
    <w:rPr>
      <w:rFonts w:ascii="Times New Roman" w:eastAsia="宋体" w:hAnsi="Times New Roman" w:cs="Times New Roman"/>
      <w:kern w:val="2"/>
      <w:sz w:val="18"/>
      <w:szCs w:val="18"/>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character" w:customStyle="1" w:styleId="af8">
    <w:name w:val="发布"/>
    <w:qFormat/>
    <w:rPr>
      <w:rFonts w:ascii="黑体" w:eastAsia="黑体"/>
      <w:spacing w:val="85"/>
      <w:w w:val="100"/>
      <w:position w:val="3"/>
      <w:sz w:val="28"/>
      <w:szCs w:val="28"/>
    </w:rPr>
  </w:style>
  <w:style w:type="paragraph" w:customStyle="1" w:styleId="af9">
    <w:name w:val="其他发布部门"/>
    <w:basedOn w:val="a0"/>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a">
    <w:name w:val="前言、引言标题"/>
    <w:next w:val="a0"/>
    <w:qFormat/>
    <w:pPr>
      <w:shd w:val="clear" w:color="FFFFFF" w:fill="FFFFFF"/>
      <w:tabs>
        <w:tab w:val="left" w:pos="360"/>
      </w:tabs>
      <w:spacing w:before="640" w:after="560"/>
      <w:jc w:val="center"/>
      <w:outlineLvl w:val="0"/>
    </w:pPr>
    <w:rPr>
      <w:rFonts w:ascii="黑体" w:eastAsia="黑体"/>
      <w:sz w:val="32"/>
    </w:rPr>
  </w:style>
  <w:style w:type="character" w:customStyle="1" w:styleId="Char0">
    <w:name w:val="一级条标题 Char"/>
    <w:link w:val="af0"/>
    <w:qFormat/>
    <w:rPr>
      <w:rFonts w:ascii="黑体" w:eastAsia="黑体" w:cs="黑体"/>
      <w:sz w:val="21"/>
      <w:szCs w:val="21"/>
    </w:rPr>
  </w:style>
  <w:style w:type="character" w:customStyle="1" w:styleId="30">
    <w:name w:val="标题 3 字符"/>
    <w:basedOn w:val="a1"/>
    <w:link w:val="3"/>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33"/>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9E63F-9D28-CF4C-BEF8-13D1AD8F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330</Words>
  <Characters>1884</Characters>
  <Application>Microsoft Office Word</Application>
  <DocSecurity>0</DocSecurity>
  <Lines>15</Lines>
  <Paragraphs>4</Paragraphs>
  <ScaleCrop>false</ScaleCrop>
  <Company>j</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用户</cp:lastModifiedBy>
  <cp:revision>43</cp:revision>
  <cp:lastPrinted>2020-12-02T03:36:00Z</cp:lastPrinted>
  <dcterms:created xsi:type="dcterms:W3CDTF">2020-12-02T01:42:00Z</dcterms:created>
  <dcterms:modified xsi:type="dcterms:W3CDTF">2020-12-03T08:53:00Z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