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8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5" w:type="dxa"/>
          </w:tcPr>
          <w:p>
            <w:pPr>
              <w:pStyle w:val="21"/>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shd w:val="clear" w:fill="FFFFFF" w:themeFill="background1"/>
                <w:lang w:val="en-US" w:eastAsia="zh-CN"/>
              </w:rPr>
              <w:t>ICS 01.</w:t>
            </w:r>
            <w:r>
              <w:rPr>
                <w:rFonts w:ascii="黑体" w:hAnsi="黑体" w:eastAsia="黑体"/>
                <w:sz w:val="21"/>
                <w:szCs w:val="21"/>
                <w:shd w:val="clear" w:fill="FFFFFF" w:themeFill="background1"/>
              </w:rPr>
              <w:fldChar w:fldCharType="begin">
                <w:ffData>
                  <w:name w:val="ICS"/>
                  <w:enabled/>
                  <w:calcOnExit w:val="0"/>
                  <w:textInput>
                    <w:default w:val="点击此处添加ICS号"/>
                  </w:textInput>
                </w:ffData>
              </w:fldChar>
            </w:r>
            <w:bookmarkStart w:id="0" w:name="ICS"/>
            <w:r>
              <w:rPr>
                <w:rFonts w:ascii="黑体" w:hAnsi="黑体" w:eastAsia="黑体"/>
                <w:sz w:val="21"/>
                <w:szCs w:val="21"/>
                <w:shd w:val="clear" w:fill="FFFFFF" w:themeFill="background1"/>
              </w:rPr>
              <w:instrText xml:space="preserve"> FORMTEXT </w:instrText>
            </w:r>
            <w:r>
              <w:rPr>
                <w:rFonts w:ascii="黑体" w:hAnsi="黑体" w:eastAsia="黑体"/>
                <w:sz w:val="21"/>
                <w:szCs w:val="21"/>
                <w:shd w:val="clear" w:fill="FFFFFF" w:themeFill="background1"/>
              </w:rPr>
              <w:fldChar w:fldCharType="separate"/>
            </w:r>
            <w:r>
              <w:rPr>
                <w:rFonts w:ascii="黑体" w:hAnsi="黑体" w:eastAsia="黑体"/>
                <w:sz w:val="21"/>
                <w:szCs w:val="21"/>
                <w:shd w:val="clear" w:fill="FFFFFF" w:themeFill="background1"/>
              </w:rPr>
              <w:t>0</w:t>
            </w:r>
            <w:r>
              <w:rPr>
                <w:rFonts w:hint="eastAsia" w:ascii="黑体" w:hAnsi="黑体" w:eastAsia="黑体"/>
                <w:sz w:val="21"/>
                <w:szCs w:val="21"/>
                <w:shd w:val="clear" w:fill="FFFFFF" w:themeFill="background1"/>
                <w:lang w:val="en-US" w:eastAsia="zh-CN"/>
              </w:rPr>
              <w:t>4</w:t>
            </w:r>
            <w:r>
              <w:rPr>
                <w:rFonts w:ascii="黑体" w:hAnsi="黑体" w:eastAsia="黑体"/>
                <w:sz w:val="21"/>
                <w:szCs w:val="21"/>
                <w:shd w:val="clear" w:fill="FFFFFF" w:themeFill="background1"/>
              </w:rPr>
              <w:t>0.</w:t>
            </w:r>
            <w:r>
              <w:rPr>
                <w:rFonts w:ascii="黑体" w:hAnsi="黑体" w:eastAsia="黑体"/>
                <w:sz w:val="21"/>
                <w:szCs w:val="21"/>
                <w:shd w:val="clear" w:fill="FFFFFF" w:themeFill="background1"/>
              </w:rPr>
              <w:fldChar w:fldCharType="end"/>
            </w:r>
            <w:bookmarkEnd w:id="0"/>
            <w:r>
              <w:rPr>
                <w:rFonts w:hint="eastAsia" w:ascii="黑体" w:hAnsi="黑体" w:eastAsia="黑体"/>
                <w:sz w:val="21"/>
                <w:szCs w:val="21"/>
                <w:shd w:val="clear" w:fill="FFFFFF" w:themeFill="background1"/>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C</w:t>
            </w:r>
            <w:r>
              <w:rPr>
                <w:rFonts w:hint="eastAsia" w:ascii="黑体" w:hAnsi="黑体" w:eastAsia="黑体"/>
                <w:sz w:val="21"/>
                <w:szCs w:val="21"/>
              </w:rPr>
              <w:t xml:space="preserve"> </w:t>
            </w:r>
            <w:r>
              <w:rPr>
                <w:rFonts w:hint="eastAsia" w:ascii="黑体" w:hAnsi="黑体" w:eastAsia="黑体"/>
                <w:sz w:val="21"/>
                <w:szCs w:val="21"/>
                <w:lang w:val="en-US" w:eastAsia="zh-CN"/>
              </w:rPr>
              <w:t>85</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23</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黑龙江省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23</w:t>
      </w:r>
      <w:r>
        <w:rPr>
          <w:lang w:val="fr-FR"/>
        </w:rPr>
        <w:t>/T</w:t>
      </w:r>
      <w:r>
        <w:rPr>
          <w:rFonts w:hint="eastAsia"/>
          <w:lang w:val="fr-FR"/>
        </w:rPr>
        <w:t xml:space="preserve"> </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2021</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x="1419" w:y="6192" w:anchorLock="1"/>
        <w:pBdr>
          <w:top w:val="none" w:color="auto" w:sz="0" w:space="0"/>
          <w:left w:val="none" w:color="auto" w:sz="0" w:space="0"/>
          <w:bottom w:val="none" w:color="auto" w:sz="0" w:space="0"/>
          <w:right w:val="none" w:color="auto" w:sz="0" w:space="0"/>
        </w:pBdr>
        <w:rPr>
          <w:rFonts w:hint="eastAsia"/>
          <w:lang w:eastAsia="zh-CN"/>
        </w:rPr>
      </w:pPr>
      <w:bookmarkStart w:id="9" w:name="CSTD_NAME"/>
      <w:r>
        <w:fldChar w:fldCharType="begin">
          <w:ffData>
            <w:name w:val="CSTD_NAME"/>
            <w:enabled/>
            <w:calcOnExit w:val="0"/>
            <w:textInput>
              <w:default w:val="&#10;使用领域消防产品质量监督抽查方法"/>
            </w:textInput>
          </w:ffData>
        </w:fldChar>
      </w:r>
      <w:r>
        <w:instrText xml:space="preserve">FORMTEXT</w:instrText>
      </w:r>
      <w:r>
        <w:fldChar w:fldCharType="separate"/>
      </w:r>
      <w:r>
        <w:cr/>
      </w:r>
      <w:r>
        <w:rPr>
          <w:rFonts w:hint="eastAsia"/>
          <w:lang w:eastAsia="zh-CN"/>
        </w:rPr>
        <w:t>常见忌水性危险化学品灾害事故</w:t>
      </w:r>
    </w:p>
    <w:p>
      <w:pPr>
        <w:pStyle w:val="200"/>
        <w:framePr w:h="6974" w:hRule="exact" w:x="1419" w:y="6192" w:anchorLock="1"/>
        <w:pBdr>
          <w:top w:val="none" w:color="auto" w:sz="0" w:space="0"/>
          <w:left w:val="none" w:color="auto" w:sz="0" w:space="0"/>
          <w:bottom w:val="none" w:color="auto" w:sz="0" w:space="0"/>
          <w:right w:val="none" w:color="auto" w:sz="0" w:space="0"/>
        </w:pBdr>
      </w:pPr>
      <w:r>
        <w:rPr>
          <w:rFonts w:hint="eastAsia"/>
          <w:lang w:eastAsia="zh-CN"/>
        </w:rPr>
        <w:t>应急处置指南</w:t>
      </w:r>
      <w:r>
        <w:fldChar w:fldCharType="end"/>
      </w:r>
      <w:bookmarkEnd w:id="9"/>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sz w:val="24"/>
          <w:szCs w:val="28"/>
        </w:rPr>
      </w:pPr>
      <w:r>
        <w:rPr>
          <w:rFonts w:hint="eastAsia"/>
          <w:sz w:val="24"/>
          <w:szCs w:val="28"/>
        </w:rPr>
        <w:t>联系单位：黑龙江省消防救援总队</w:t>
      </w:r>
      <w:r>
        <w:rPr>
          <w:rFonts w:hint="eastAsia"/>
          <w:sz w:val="24"/>
          <w:szCs w:val="28"/>
          <w:lang w:eastAsia="zh-CN"/>
        </w:rPr>
        <w:t>作战训练</w:t>
      </w:r>
      <w:r>
        <w:rPr>
          <w:rFonts w:hint="eastAsia"/>
          <w:sz w:val="24"/>
          <w:szCs w:val="28"/>
        </w:rPr>
        <w:t>处</w:t>
      </w: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rFonts w:hint="eastAsia" w:eastAsia="黑体"/>
          <w:sz w:val="24"/>
          <w:szCs w:val="28"/>
          <w:lang w:eastAsia="zh-CN"/>
        </w:rPr>
      </w:pPr>
      <w:r>
        <w:rPr>
          <w:rFonts w:hint="eastAsia"/>
          <w:sz w:val="24"/>
          <w:szCs w:val="28"/>
        </w:rPr>
        <w:t>联系人：</w:t>
      </w:r>
      <w:r>
        <w:rPr>
          <w:rFonts w:hint="eastAsia"/>
          <w:sz w:val="24"/>
          <w:szCs w:val="28"/>
          <w:lang w:eastAsia="zh-CN"/>
        </w:rPr>
        <w:t>赵波</w:t>
      </w: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rFonts w:hint="default" w:eastAsia="黑体"/>
          <w:sz w:val="24"/>
          <w:szCs w:val="28"/>
          <w:lang w:val="en-US" w:eastAsia="zh-CN"/>
        </w:rPr>
      </w:pPr>
      <w:r>
        <w:rPr>
          <w:rFonts w:hint="eastAsia"/>
          <w:sz w:val="24"/>
          <w:szCs w:val="28"/>
        </w:rPr>
        <w:t>联系电话：</w:t>
      </w:r>
      <w:r>
        <w:rPr>
          <w:rFonts w:hint="eastAsia"/>
          <w:sz w:val="24"/>
          <w:szCs w:val="28"/>
          <w:lang w:val="en-US" w:eastAsia="zh-CN"/>
        </w:rPr>
        <w:t>18746396666</w:t>
      </w: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b/>
          <w:sz w:val="21"/>
          <w:szCs w:val="28"/>
        </w:rPr>
      </w:pPr>
      <w:r>
        <w:rPr>
          <w:rFonts w:hint="eastAsia"/>
          <w:sz w:val="24"/>
          <w:szCs w:val="28"/>
        </w:rPr>
        <w:t>邮箱：</w:t>
      </w:r>
      <w:r>
        <w:rPr>
          <w:rFonts w:hint="eastAsia"/>
          <w:sz w:val="24"/>
          <w:szCs w:val="28"/>
          <w:lang w:val="en-US" w:eastAsia="zh-CN"/>
        </w:rPr>
        <w:t>4163053</w:t>
      </w:r>
      <w:r>
        <w:rPr>
          <w:sz w:val="24"/>
          <w:szCs w:val="28"/>
        </w:rPr>
        <w:t>@</w:t>
      </w:r>
      <w:r>
        <w:rPr>
          <w:rFonts w:hint="eastAsia"/>
          <w:sz w:val="24"/>
          <w:szCs w:val="28"/>
          <w:lang w:val="en-US" w:eastAsia="zh-CN"/>
        </w:rPr>
        <w:t>qq</w:t>
      </w:r>
      <w:r>
        <w:rPr>
          <w:sz w:val="24"/>
          <w:szCs w:val="28"/>
        </w:rPr>
        <w:t>.com</w:t>
      </w:r>
    </w:p>
    <w:p>
      <w:pPr>
        <w:pStyle w:val="128"/>
        <w:framePr w:w="9639" w:h="6974" w:hRule="exact" w:vAnchor="page" w:hAnchor="page" w:x="1419" w:y="6192"/>
        <w:pBdr>
          <w:top w:val="none" w:color="auto" w:sz="0" w:space="0"/>
          <w:left w:val="none" w:color="auto" w:sz="0" w:space="0"/>
          <w:bottom w:val="none" w:color="auto" w:sz="0" w:space="0"/>
          <w:right w:val="none" w:color="auto" w:sz="0" w:space="0"/>
        </w:pBdr>
        <w:textAlignment w:val="bottom"/>
        <w:rPr>
          <w:rFonts w:eastAsia="黑体"/>
          <w:szCs w:val="28"/>
        </w:rPr>
      </w:pP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 xml:space="preserve"> </w:t>
      </w: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180" w:line="240" w:lineRule="atLeast"/>
        <w:textAlignment w:val="bottom"/>
        <w:rPr>
          <w:sz w:val="21"/>
          <w:szCs w:val="28"/>
        </w:rPr>
      </w:pPr>
      <w:r>
        <w:rPr>
          <w:rFonts w:hint="eastAsia"/>
          <w:sz w:val="21"/>
          <w:szCs w:val="28"/>
        </w:rPr>
        <w:t xml:space="preserve"> </w:t>
      </w: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180" w:line="240" w:lineRule="atLeast"/>
        <w:textAlignment w:val="bottom"/>
        <w:rPr>
          <w:sz w:val="21"/>
          <w:szCs w:val="28"/>
        </w:rPr>
      </w:pPr>
      <w:r>
        <w:rPr>
          <w:rFonts w:hint="eastAsia"/>
          <w:sz w:val="21"/>
          <w:szCs w:val="28"/>
        </w:rPr>
        <w:t xml:space="preserve"> </w:t>
      </w: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180" w:line="240" w:lineRule="atLeast"/>
        <w:textAlignment w:val="bottom"/>
        <w:rPr>
          <w:sz w:val="21"/>
          <w:szCs w:val="28"/>
        </w:rPr>
      </w:pPr>
      <w:r>
        <w:rPr>
          <w:rFonts w:hint="eastAsia"/>
          <w:sz w:val="21"/>
          <w:szCs w:val="28"/>
        </w:rPr>
        <w:t xml:space="preserve"> </w:t>
      </w:r>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180" w:line="240" w:lineRule="atLeast"/>
        <w:textAlignment w:val="bottom"/>
        <w:rPr>
          <w:sz w:val="21"/>
          <w:szCs w:val="28"/>
        </w:rPr>
      </w:pPr>
      <w:r>
        <w:rPr>
          <w:sz w:val="21"/>
          <w:szCs w:val="28"/>
        </w:rPr>
        <w:fldChar w:fldCharType="end"/>
      </w:r>
      <w:bookmarkEnd w:id="11"/>
    </w:p>
    <w:p>
      <w:pPr>
        <w:pStyle w:val="128"/>
        <w:framePr w:w="9639" w:h="6974" w:hRule="exact" w:vAnchor="page" w:hAnchor="page" w:x="1419" w:y="6192"/>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黑龙江省市场监督管理局</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default" w:ascii="宋体" w:hAnsi="宋体"/>
          <w:sz w:val="28"/>
          <w:szCs w:val="28"/>
          <w:lang w:val="en-US"/>
        </w:rPr>
        <w:sectPr>
          <w:headerReference r:id="rId7" w:type="first"/>
          <w:footerReference r:id="rId10" w:type="first"/>
          <w:headerReference r:id="rId5" w:type="default"/>
          <w:footerReference r:id="rId8" w:type="default"/>
          <w:headerReference r:id="rId6" w:type="even"/>
          <w:footerReference r:id="rId9" w:type="even"/>
          <w:pgSz w:w="11906" w:h="16838"/>
          <w:pgMar w:top="-338" w:right="1134" w:bottom="1021" w:left="1134" w:header="0" w:footer="0" w:gutter="284"/>
          <w:pgNumType w:fmt="upperRoman"/>
          <w:cols w:space="720" w:num="1"/>
          <w:titlePg/>
          <w:docGrid w:linePitch="312" w:charSpace="0"/>
        </w:sectPr>
      </w:pPr>
      <w:bookmarkStart w:id="20" w:name="BookMark4"/>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1312;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CU&#10;8lY26AEAALgDAAAOAAAAAAAAAAEAIAAAACYBAABkcnMvZTJvRG9jLnhtbFBLBQYAAAAABgAGAFkB&#10;AACABQAAAAA=&#10;">
                <v:fill on="f" focussize="0,0"/>
                <v:stroke color="#000000" joinstyle="round"/>
                <v:imagedata o:title=""/>
                <o:lock v:ext="edit" aspectratio="f"/>
                <w10:anchorlock/>
              </v:line>
            </w:pict>
          </mc:Fallback>
        </mc:AlternateContent>
      </w:r>
    </w:p>
    <w:p>
      <w:pPr>
        <w:pStyle w:val="243"/>
        <w:spacing w:line="240" w:lineRule="auto"/>
        <w:jc w:val="center"/>
        <w:rPr>
          <w:rFonts w:hint="eastAsia" w:ascii="黑体" w:hAnsi="黑体" w:eastAsia="黑体" w:cs="黑体"/>
          <w:szCs w:val="32"/>
        </w:rPr>
      </w:pPr>
      <w:bookmarkStart w:id="21" w:name="_Toc33689444"/>
      <w:bookmarkStart w:id="22" w:name="_Toc33692458"/>
      <w:bookmarkStart w:id="23" w:name="_Toc33692322"/>
      <w:bookmarkStart w:id="24" w:name="_Toc33695130"/>
      <w:bookmarkStart w:id="25" w:name="_Toc33695445"/>
      <w:bookmarkStart w:id="26" w:name="_Toc7806"/>
      <w:bookmarkStart w:id="27" w:name="_Toc33702968"/>
      <w:bookmarkStart w:id="28" w:name="_Toc33690058"/>
      <w:r>
        <w:rPr>
          <w:rFonts w:hint="eastAsia" w:ascii="黑体" w:hAnsi="黑体" w:eastAsia="黑体" w:cs="黑体"/>
          <w:szCs w:val="32"/>
        </w:rPr>
        <w:t>目</w:t>
      </w:r>
      <w:bookmarkStart w:id="29" w:name="BKML"/>
      <w:r>
        <w:rPr>
          <w:rFonts w:hint="eastAsia" w:ascii="黑体" w:hAnsi="黑体" w:eastAsia="黑体" w:cs="黑体"/>
          <w:szCs w:val="32"/>
        </w:rPr>
        <w:t>  次</w:t>
      </w:r>
      <w:bookmarkEnd w:id="29"/>
    </w:p>
    <w:p>
      <w:pPr>
        <w:pStyle w:val="22"/>
        <w:tabs>
          <w:tab w:val="right" w:leader="dot" w:pos="9241"/>
        </w:tabs>
        <w:rPr>
          <w:rStyle w:val="35"/>
          <w:rFonts w:hint="eastAsia" w:hAnsi="宋体" w:cs="宋体"/>
          <w:color w:val="auto"/>
        </w:rPr>
      </w:pPr>
      <w:r>
        <w:rPr>
          <w:rFonts w:hint="eastAsia" w:hAnsi="宋体" w:cs="宋体"/>
        </w:rPr>
        <w:fldChar w:fldCharType="begin" w:fldLock="1"/>
      </w:r>
      <w:r>
        <w:rPr>
          <w:rStyle w:val="35"/>
          <w:rFonts w:hint="eastAsia" w:hAnsi="宋体" w:cs="宋体"/>
          <w:color w:val="auto"/>
        </w:rPr>
        <w:instrText xml:space="preserve"> TOC \h \z \t"前言、引言标题,1,参考文献、索引标题,1,章标题,1,参考文献,1,附录标识,1,一级条标题, 3,附录章标题, 3" \* MERGEFORMAT </w:instrText>
      </w:r>
      <w:r>
        <w:rPr>
          <w:rFonts w:hint="eastAsia" w:hAnsi="宋体" w:cs="宋体"/>
        </w:rPr>
        <w:fldChar w:fldCharType="separate"/>
      </w:r>
      <w:r>
        <w:rPr>
          <w:rFonts w:hint="eastAsia" w:hAnsi="宋体" w:cs="宋体"/>
        </w:rPr>
        <w:fldChar w:fldCharType="begin" w:fldLock="1"/>
      </w:r>
      <w:r>
        <w:rPr>
          <w:rStyle w:val="35"/>
          <w:rFonts w:hint="eastAsia" w:hAnsi="宋体" w:cs="宋体"/>
          <w:color w:val="auto"/>
        </w:rPr>
        <w:instrText xml:space="preserve"> HYPERLINK \l "_Toc33702968" </w:instrText>
      </w:r>
      <w:r>
        <w:rPr>
          <w:rFonts w:hint="eastAsia" w:hAnsi="宋体" w:cs="宋体"/>
        </w:rPr>
        <w:fldChar w:fldCharType="separate"/>
      </w:r>
      <w:r>
        <w:rPr>
          <w:rStyle w:val="35"/>
          <w:rFonts w:hint="eastAsia" w:hAnsi="宋体" w:cs="宋体"/>
          <w:color w:val="auto"/>
        </w:rPr>
        <w:t>前　 言</w:t>
      </w:r>
      <w:r>
        <w:rPr>
          <w:rStyle w:val="35"/>
          <w:rFonts w:hint="eastAsia" w:hAnsi="宋体" w:cs="宋体"/>
          <w:color w:val="auto"/>
        </w:rPr>
        <w:tab/>
      </w:r>
      <w:r>
        <w:rPr>
          <w:rFonts w:hint="eastAsia" w:hAnsi="宋体" w:cs="宋体"/>
        </w:rPr>
        <w:fldChar w:fldCharType="end"/>
      </w:r>
      <w:r>
        <w:rPr>
          <w:rStyle w:val="35"/>
          <w:rFonts w:hint="eastAsia" w:hAnsi="宋体" w:cs="宋体"/>
          <w:color w:val="auto"/>
        </w:rPr>
        <w:t>Ⅱ</w:t>
      </w:r>
    </w:p>
    <w:p>
      <w:pPr>
        <w:pStyle w:val="22"/>
        <w:tabs>
          <w:tab w:val="right" w:leader="dot" w:pos="9241"/>
        </w:tabs>
        <w:rPr>
          <w:rStyle w:val="35"/>
          <w:rFonts w:hint="eastAsia" w:hAnsi="宋体" w:cs="宋体"/>
          <w:color w:val="auto"/>
        </w:rPr>
      </w:pPr>
      <w:r>
        <w:rPr>
          <w:rFonts w:hint="eastAsia" w:hAnsi="宋体" w:cs="宋体"/>
        </w:rPr>
        <w:fldChar w:fldCharType="begin" w:fldLock="1"/>
      </w:r>
      <w:r>
        <w:rPr>
          <w:rStyle w:val="35"/>
          <w:rFonts w:hint="eastAsia" w:hAnsi="宋体" w:cs="宋体"/>
          <w:color w:val="auto"/>
        </w:rPr>
        <w:instrText xml:space="preserve"> HYPERLINK \l "_Toc33702970" </w:instrText>
      </w:r>
      <w:r>
        <w:rPr>
          <w:rFonts w:hint="eastAsia" w:hAnsi="宋体" w:cs="宋体"/>
        </w:rPr>
        <w:fldChar w:fldCharType="separate"/>
      </w:r>
      <w:r>
        <w:rPr>
          <w:rStyle w:val="35"/>
          <w:rFonts w:hint="eastAsia" w:hAnsi="宋体" w:cs="宋体"/>
          <w:color w:val="auto"/>
        </w:rPr>
        <w:t>1　范围</w:t>
      </w:r>
      <w:r>
        <w:rPr>
          <w:rStyle w:val="35"/>
          <w:rFonts w:hint="eastAsia" w:hAnsi="宋体" w:cs="宋体"/>
          <w:color w:val="auto"/>
        </w:rPr>
        <w:tab/>
      </w:r>
      <w:r>
        <w:rPr>
          <w:rFonts w:hint="eastAsia" w:hAnsi="宋体" w:cs="宋体"/>
        </w:rPr>
        <w:fldChar w:fldCharType="begin" w:fldLock="1"/>
      </w:r>
      <w:r>
        <w:rPr>
          <w:rStyle w:val="35"/>
          <w:rFonts w:hint="eastAsia" w:hAnsi="宋体" w:cs="宋体"/>
          <w:color w:val="auto"/>
        </w:rPr>
        <w:instrText xml:space="preserve"> PAGEREF _Toc33702970 \h </w:instrText>
      </w:r>
      <w:r>
        <w:rPr>
          <w:rFonts w:hint="eastAsia" w:hAnsi="宋体" w:cs="宋体"/>
        </w:rPr>
        <w:fldChar w:fldCharType="separate"/>
      </w:r>
      <w:r>
        <w:rPr>
          <w:rStyle w:val="35"/>
          <w:rFonts w:hint="eastAsia" w:hAnsi="宋体" w:cs="宋体"/>
          <w:color w:val="auto"/>
        </w:rPr>
        <w:t>1</w:t>
      </w:r>
      <w:r>
        <w:rPr>
          <w:rFonts w:hint="eastAsia" w:hAnsi="宋体" w:cs="宋体"/>
        </w:rPr>
        <w:fldChar w:fldCharType="end"/>
      </w:r>
      <w:r>
        <w:rPr>
          <w:rFonts w:hint="eastAsia" w:hAnsi="宋体" w:cs="宋体"/>
        </w:rPr>
        <w:fldChar w:fldCharType="end"/>
      </w:r>
    </w:p>
    <w:p>
      <w:pPr>
        <w:pStyle w:val="22"/>
        <w:tabs>
          <w:tab w:val="right" w:leader="dot" w:pos="9241"/>
        </w:tabs>
        <w:rPr>
          <w:rStyle w:val="35"/>
          <w:rFonts w:hint="eastAsia" w:hAnsi="宋体" w:cs="宋体"/>
          <w:color w:val="auto"/>
          <w:lang w:val="en-US" w:eastAsia="zh-CN"/>
        </w:rPr>
      </w:pPr>
      <w:r>
        <w:rPr>
          <w:rFonts w:hint="eastAsia" w:hAnsi="宋体" w:cs="宋体"/>
        </w:rPr>
        <w:fldChar w:fldCharType="begin" w:fldLock="1"/>
      </w:r>
      <w:r>
        <w:rPr>
          <w:rStyle w:val="35"/>
          <w:rFonts w:hint="eastAsia" w:hAnsi="宋体" w:cs="宋体"/>
          <w:color w:val="auto"/>
        </w:rPr>
        <w:instrText xml:space="preserve"> HYPERLINK \l "_Toc33702971" </w:instrText>
      </w:r>
      <w:r>
        <w:rPr>
          <w:rFonts w:hint="eastAsia" w:hAnsi="宋体" w:cs="宋体"/>
        </w:rPr>
        <w:fldChar w:fldCharType="separate"/>
      </w:r>
      <w:r>
        <w:rPr>
          <w:rStyle w:val="35"/>
          <w:rFonts w:hint="eastAsia" w:hAnsi="宋体" w:cs="宋体"/>
          <w:color w:val="auto"/>
        </w:rPr>
        <w:t>2　规范性引用文件</w:t>
      </w:r>
      <w:r>
        <w:rPr>
          <w:rStyle w:val="35"/>
          <w:rFonts w:hint="eastAsia" w:hAnsi="宋体" w:cs="宋体"/>
          <w:color w:val="auto"/>
        </w:rPr>
        <w:tab/>
      </w:r>
      <w:r>
        <w:rPr>
          <w:rFonts w:hint="eastAsia" w:hAnsi="宋体" w:cs="宋体"/>
        </w:rPr>
        <w:fldChar w:fldCharType="end"/>
      </w:r>
      <w:r>
        <w:rPr>
          <w:rFonts w:hint="eastAsia" w:hAnsi="宋体" w:cs="宋体"/>
        </w:rPr>
        <w:t>1</w:t>
      </w:r>
    </w:p>
    <w:p>
      <w:pPr>
        <w:pStyle w:val="22"/>
        <w:tabs>
          <w:tab w:val="right" w:leader="dot" w:pos="9241"/>
        </w:tabs>
        <w:rPr>
          <w:rStyle w:val="35"/>
          <w:rFonts w:hint="eastAsia" w:hAnsi="宋体" w:eastAsia="宋体" w:cs="宋体"/>
          <w:color w:val="auto"/>
          <w:lang w:val="en-US" w:eastAsia="zh-CN"/>
        </w:rPr>
      </w:pPr>
      <w:r>
        <w:rPr>
          <w:rFonts w:hint="eastAsia" w:hAnsi="宋体" w:cs="宋体"/>
        </w:rPr>
        <w:fldChar w:fldCharType="begin" w:fldLock="1"/>
      </w:r>
      <w:r>
        <w:rPr>
          <w:rStyle w:val="35"/>
          <w:rFonts w:hint="eastAsia" w:hAnsi="宋体" w:cs="宋体"/>
          <w:color w:val="auto"/>
        </w:rPr>
        <w:instrText xml:space="preserve"> HYPERLINK \l "_Toc33702972" </w:instrText>
      </w:r>
      <w:r>
        <w:rPr>
          <w:rFonts w:hint="eastAsia" w:hAnsi="宋体" w:cs="宋体"/>
        </w:rPr>
        <w:fldChar w:fldCharType="separate"/>
      </w:r>
      <w:r>
        <w:rPr>
          <w:rStyle w:val="35"/>
          <w:rFonts w:hint="eastAsia" w:hAnsi="宋体" w:cs="宋体"/>
          <w:color w:val="auto"/>
        </w:rPr>
        <w:t>3　术语和定义</w:t>
      </w:r>
      <w:r>
        <w:rPr>
          <w:rStyle w:val="35"/>
          <w:rFonts w:hint="eastAsia" w:hAnsi="宋体" w:cs="宋体"/>
          <w:color w:val="auto"/>
        </w:rPr>
        <w:tab/>
      </w:r>
      <w:r>
        <w:rPr>
          <w:rFonts w:hint="eastAsia" w:hAnsi="宋体" w:cs="宋体"/>
        </w:rPr>
        <w:fldChar w:fldCharType="end"/>
      </w:r>
      <w:r>
        <w:rPr>
          <w:rFonts w:hint="eastAsia" w:hAnsi="宋体" w:cs="宋体"/>
          <w:lang w:val="en-US" w:eastAsia="zh-CN"/>
        </w:rPr>
        <w:t>1</w:t>
      </w:r>
    </w:p>
    <w:p>
      <w:pPr>
        <w:pStyle w:val="22"/>
        <w:tabs>
          <w:tab w:val="right" w:leader="dot" w:pos="9241"/>
        </w:tabs>
        <w:rPr>
          <w:rFonts w:hint="eastAsia" w:eastAsia="宋体"/>
          <w:lang w:val="en-US" w:eastAsia="zh-CN"/>
        </w:rPr>
      </w:pPr>
      <w:r>
        <w:rPr>
          <w:rFonts w:hint="eastAsia" w:hAnsi="宋体" w:cs="宋体"/>
        </w:rPr>
        <w:t>4  总则</w:t>
      </w:r>
      <w:r>
        <w:rPr>
          <w:rStyle w:val="35"/>
          <w:rFonts w:hint="eastAsia" w:hAnsi="宋体" w:cs="宋体"/>
          <w:color w:val="auto"/>
          <w:u w:val="none" w:color="080000"/>
        </w:rPr>
        <w:tab/>
      </w:r>
      <w:r>
        <w:rPr>
          <w:rStyle w:val="35"/>
          <w:rFonts w:hint="eastAsia" w:hAnsi="宋体" w:cs="宋体"/>
          <w:color w:val="auto"/>
          <w:u w:val="none" w:color="080000"/>
          <w:lang w:val="en-US" w:eastAsia="zh-CN"/>
        </w:rPr>
        <w:t>1</w:t>
      </w:r>
    </w:p>
    <w:p>
      <w:pPr>
        <w:pStyle w:val="22"/>
        <w:tabs>
          <w:tab w:val="right" w:leader="dot" w:pos="9241"/>
        </w:tabs>
        <w:rPr>
          <w:rFonts w:hint="eastAsia" w:hAnsi="宋体" w:eastAsia="宋体" w:cs="宋体"/>
          <w:u w:val="none" w:color="080000"/>
          <w:lang w:val="en-US" w:eastAsia="zh-CN"/>
        </w:rPr>
      </w:pPr>
      <w:r>
        <w:rPr>
          <w:rFonts w:hint="eastAsia" w:hAnsi="宋体" w:cs="宋体"/>
        </w:rPr>
        <w:fldChar w:fldCharType="end"/>
      </w:r>
      <w:r>
        <w:rPr>
          <w:rStyle w:val="35"/>
          <w:rFonts w:hint="eastAsia" w:hAnsi="宋体" w:cs="宋体"/>
          <w:color w:val="auto"/>
          <w:u w:val="none" w:color="080000"/>
          <w:lang w:val="en-US" w:eastAsia="zh-CN"/>
        </w:rPr>
        <w:t xml:space="preserve">5 </w:t>
      </w:r>
      <w:r>
        <w:rPr>
          <w:rStyle w:val="35"/>
          <w:rFonts w:hint="eastAsia" w:hAnsi="宋体" w:cs="宋体"/>
          <w:color w:val="000000"/>
          <w:u w:val="none" w:color="080000"/>
          <w:lang w:val="en-US" w:eastAsia="zh-CN"/>
        </w:rPr>
        <w:t xml:space="preserve"> </w:t>
      </w:r>
      <w:r>
        <w:rPr>
          <w:rStyle w:val="35"/>
          <w:rFonts w:hint="eastAsia" w:hAnsi="宋体" w:cs="宋体"/>
          <w:color w:val="000000"/>
          <w:u w:val="none" w:color="080000"/>
          <w:lang w:eastAsia="zh-CN"/>
        </w:rPr>
        <w:t>处置</w:t>
      </w:r>
      <w:r>
        <w:rPr>
          <w:rStyle w:val="35"/>
          <w:rFonts w:hint="eastAsia" w:hAnsi="宋体" w:cs="宋体"/>
          <w:color w:val="000000"/>
          <w:u w:val="none" w:color="080000"/>
        </w:rPr>
        <w:t>行动</w:t>
      </w:r>
      <w:r>
        <w:rPr>
          <w:rFonts w:hint="eastAsia" w:hAnsi="宋体" w:cs="宋体"/>
          <w:u w:val="none" w:color="080000"/>
        </w:rPr>
        <w:fldChar w:fldCharType="begin"/>
      </w:r>
      <w:r>
        <w:rPr>
          <w:rStyle w:val="35"/>
          <w:rFonts w:hint="eastAsia" w:hAnsi="宋体" w:cs="宋体"/>
          <w:color w:val="auto"/>
          <w:u w:val="none" w:color="080000"/>
        </w:rPr>
        <w:instrText xml:space="preserve"> HYPERLINK \l "_Toc516217974" </w:instrText>
      </w:r>
      <w:r>
        <w:rPr>
          <w:rFonts w:hint="eastAsia" w:hAnsi="宋体" w:cs="宋体"/>
          <w:u w:val="none" w:color="080000"/>
        </w:rPr>
        <w:fldChar w:fldCharType="separate"/>
      </w:r>
      <w:r>
        <w:rPr>
          <w:rStyle w:val="35"/>
          <w:rFonts w:hint="eastAsia" w:hAnsi="宋体" w:cs="宋体"/>
          <w:color w:val="auto"/>
          <w:u w:val="none" w:color="080000"/>
        </w:rPr>
        <w:tab/>
      </w:r>
      <w:r>
        <w:rPr>
          <w:rFonts w:hint="eastAsia" w:hAnsi="宋体" w:cs="宋体"/>
          <w:u w:val="none" w:color="080000"/>
        </w:rPr>
        <w:fldChar w:fldCharType="end"/>
      </w:r>
      <w:r>
        <w:rPr>
          <w:rFonts w:hint="eastAsia" w:hAnsi="宋体" w:cs="宋体"/>
          <w:u w:val="none" w:color="080000"/>
          <w:lang w:val="en-US" w:eastAsia="zh-CN"/>
        </w:rPr>
        <w:t>2</w:t>
      </w:r>
    </w:p>
    <w:p>
      <w:pPr>
        <w:pStyle w:val="22"/>
        <w:tabs>
          <w:tab w:val="right" w:leader="dot" w:pos="9241"/>
        </w:tabs>
        <w:rPr>
          <w:rStyle w:val="35"/>
          <w:rFonts w:hint="eastAsia" w:hAnsi="宋体" w:eastAsia="宋体" w:cs="宋体"/>
          <w:color w:val="auto"/>
          <w:lang w:val="en-US" w:eastAsia="zh-CN"/>
        </w:rPr>
      </w:pPr>
      <w:r>
        <w:rPr>
          <w:rFonts w:hint="eastAsia" w:hAnsi="宋体" w:cs="宋体"/>
        </w:rPr>
        <w:fldChar w:fldCharType="begin" w:fldLock="1"/>
      </w:r>
      <w:r>
        <w:rPr>
          <w:rStyle w:val="35"/>
          <w:rFonts w:hint="eastAsia" w:hAnsi="宋体" w:cs="宋体"/>
          <w:color w:val="auto"/>
        </w:rPr>
        <w:instrText xml:space="preserve"> HYPERLINK \l "_Toc33702968" </w:instrText>
      </w:r>
      <w:r>
        <w:rPr>
          <w:rFonts w:hint="eastAsia" w:hAnsi="宋体" w:cs="宋体"/>
        </w:rPr>
        <w:fldChar w:fldCharType="separate"/>
      </w:r>
      <w:r>
        <w:rPr>
          <w:rStyle w:val="35"/>
          <w:rFonts w:hint="eastAsia" w:hAnsi="宋体" w:cs="宋体"/>
          <w:color w:val="auto"/>
          <w:u w:val="none"/>
          <w:lang w:val="en-US" w:eastAsia="zh-CN"/>
        </w:rPr>
        <w:t>6  行动安全</w:t>
      </w:r>
      <w:r>
        <w:rPr>
          <w:rStyle w:val="35"/>
          <w:rFonts w:hint="eastAsia" w:hAnsi="宋体" w:cs="宋体"/>
          <w:color w:val="auto"/>
          <w:u w:val="none"/>
        </w:rPr>
        <w:tab/>
      </w:r>
      <w:r>
        <w:rPr>
          <w:rFonts w:hint="eastAsia" w:hAnsi="宋体" w:cs="宋体"/>
        </w:rPr>
        <w:fldChar w:fldCharType="end"/>
      </w:r>
      <w:r>
        <w:rPr>
          <w:rFonts w:hint="eastAsia" w:hAnsi="宋体" w:cs="宋体"/>
          <w:lang w:val="en-US" w:eastAsia="zh-CN"/>
        </w:rPr>
        <w:t>4</w:t>
      </w:r>
    </w:p>
    <w:p>
      <w:pPr>
        <w:pStyle w:val="22"/>
        <w:tabs>
          <w:tab w:val="right" w:leader="dot" w:pos="9241"/>
        </w:tabs>
        <w:rPr>
          <w:rStyle w:val="35"/>
          <w:rFonts w:hint="eastAsia" w:hAnsi="宋体" w:eastAsia="宋体" w:cs="宋体"/>
          <w:color w:val="auto"/>
          <w:u w:val="none"/>
          <w:lang w:eastAsia="zh-CN"/>
        </w:rPr>
      </w:pPr>
      <w:r>
        <w:rPr>
          <w:rFonts w:hint="eastAsia" w:hAnsi="宋体" w:cs="宋体"/>
          <w:u w:val="none" w:color="080000"/>
        </w:rPr>
        <w:t>附录  常见忌水性危险化学品及分类</w:t>
      </w:r>
      <w:r>
        <w:rPr>
          <w:rFonts w:hint="eastAsia" w:hAnsi="宋体" w:cs="宋体"/>
          <w:u w:val="none"/>
        </w:rPr>
        <w:fldChar w:fldCharType="begin" w:fldLock="1"/>
      </w:r>
      <w:r>
        <w:rPr>
          <w:rStyle w:val="35"/>
          <w:rFonts w:hint="eastAsia" w:hAnsi="宋体" w:cs="宋体"/>
          <w:color w:val="auto"/>
          <w:u w:val="none"/>
        </w:rPr>
        <w:instrText xml:space="preserve"> HYPERLINK \l "_Toc33702968" </w:instrText>
      </w:r>
      <w:r>
        <w:rPr>
          <w:rFonts w:hint="eastAsia" w:hAnsi="宋体" w:cs="宋体"/>
          <w:u w:val="none"/>
        </w:rPr>
        <w:fldChar w:fldCharType="separate"/>
      </w:r>
      <w:r>
        <w:rPr>
          <w:rStyle w:val="35"/>
          <w:rFonts w:hint="eastAsia" w:hAnsi="宋体" w:cs="宋体"/>
          <w:color w:val="auto"/>
          <w:u w:val="none"/>
        </w:rPr>
        <w:tab/>
      </w:r>
      <w:r>
        <w:rPr>
          <w:rFonts w:hint="eastAsia" w:hAnsi="宋体" w:cs="宋体"/>
          <w:u w:val="none"/>
        </w:rPr>
        <w:fldChar w:fldCharType="end"/>
      </w:r>
      <w:r>
        <w:rPr>
          <w:rStyle w:val="35"/>
          <w:rFonts w:hint="eastAsia" w:hAnsi="宋体" w:cs="宋体"/>
          <w:color w:val="auto"/>
          <w:u w:val="none"/>
          <w:lang w:val="en-US" w:eastAsia="zh-CN"/>
        </w:rPr>
        <w:t>5</w:t>
      </w: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p>
      <w:pPr>
        <w:rPr>
          <w:rFonts w:hint="eastAsia" w:hAnsi="宋体" w:cs="宋体"/>
          <w:u w:val="none" w:color="080000"/>
        </w:rPr>
      </w:pPr>
    </w:p>
    <w:bookmarkEnd w:id="21"/>
    <w:bookmarkEnd w:id="22"/>
    <w:bookmarkEnd w:id="23"/>
    <w:bookmarkEnd w:id="24"/>
    <w:bookmarkEnd w:id="25"/>
    <w:bookmarkEnd w:id="26"/>
    <w:bookmarkEnd w:id="27"/>
    <w:bookmarkEnd w:id="28"/>
    <w:p>
      <w:pPr>
        <w:spacing w:line="240" w:lineRule="auto"/>
        <w:jc w:val="center"/>
        <w:rPr>
          <w:rFonts w:ascii="黑体" w:hAnsi="黑体" w:eastAsia="黑体" w:cs="黑体"/>
          <w:sz w:val="32"/>
          <w:szCs w:val="32"/>
        </w:rPr>
      </w:pPr>
      <w:r>
        <w:rPr>
          <w:rFonts w:hint="eastAsia" w:ascii="黑体" w:hAnsi="黑体" w:eastAsia="黑体" w:cs="黑体"/>
          <w:sz w:val="32"/>
          <w:szCs w:val="32"/>
        </w:rPr>
        <w:t>前   言</w:t>
      </w:r>
    </w:p>
    <w:p>
      <w:pPr>
        <w:pStyle w:val="59"/>
        <w:ind w:firstLine="420"/>
      </w:pPr>
      <w:r>
        <w:rPr>
          <w:rFonts w:hint="eastAsia"/>
        </w:rPr>
        <w:t>本文件按照 GB/T 1.1—2020《标准化工作导则  第1部分：标准化文件的结构和起草规则》的规定起草。</w:t>
      </w:r>
    </w:p>
    <w:p>
      <w:pPr>
        <w:spacing w:line="240" w:lineRule="auto"/>
        <w:ind w:firstLine="420" w:firstLineChars="200"/>
        <w:rPr>
          <w:rFonts w:ascii="宋体" w:hAnsi="宋体" w:cs="宋体"/>
        </w:rPr>
      </w:pPr>
      <w:r>
        <w:rPr>
          <w:rFonts w:hint="eastAsia" w:ascii="宋体" w:hAnsi="宋体" w:cs="宋体"/>
        </w:rPr>
        <w:t>本文件由黑龙江省消防救援总队提出。</w:t>
      </w:r>
    </w:p>
    <w:p>
      <w:pPr>
        <w:spacing w:line="240" w:lineRule="auto"/>
        <w:ind w:firstLine="420" w:firstLineChars="200"/>
        <w:rPr>
          <w:rFonts w:ascii="宋体" w:hAnsi="宋体" w:cs="宋体"/>
        </w:rPr>
      </w:pPr>
      <w:r>
        <w:rPr>
          <w:rFonts w:hint="eastAsia" w:ascii="宋体" w:hAnsi="宋体" w:cs="宋体"/>
        </w:rPr>
        <w:t>本文件由黑龙江省消防标准化技术委员会归口。</w:t>
      </w:r>
    </w:p>
    <w:p>
      <w:pPr>
        <w:spacing w:line="240" w:lineRule="auto"/>
        <w:ind w:firstLine="420" w:firstLineChars="200"/>
        <w:rPr>
          <w:rFonts w:ascii="宋体" w:hAnsi="宋体" w:cs="宋体"/>
        </w:rPr>
      </w:pPr>
      <w:r>
        <w:rPr>
          <w:rFonts w:hint="eastAsia" w:ascii="宋体" w:hAnsi="宋体" w:cs="宋体"/>
        </w:rPr>
        <w:t>本文件负责起草单位：黑龙江省消防救援总队。</w:t>
      </w:r>
    </w:p>
    <w:p>
      <w:pPr>
        <w:spacing w:line="240" w:lineRule="auto"/>
        <w:ind w:firstLine="420" w:firstLineChars="200"/>
        <w:rPr>
          <w:rFonts w:hint="eastAsia" w:ascii="宋体" w:hAnsi="宋体" w:eastAsia="宋体" w:cs="宋体"/>
          <w:lang w:val="en-US" w:eastAsia="zh-CN"/>
        </w:rPr>
      </w:pPr>
      <w:r>
        <w:rPr>
          <w:rFonts w:hint="eastAsia" w:ascii="宋体" w:hAnsi="宋体" w:cs="宋体"/>
        </w:rPr>
        <w:t>本文件主要起草人：</w:t>
      </w:r>
      <w:r>
        <w:rPr>
          <w:rFonts w:hint="eastAsia" w:ascii="宋体" w:hAnsi="宋体" w:cs="宋体"/>
          <w:lang w:eastAsia="zh-CN"/>
        </w:rPr>
        <w:t>昌新文、刘颖涛、赵波、王贵军、石铁、宋越男。</w:t>
      </w:r>
      <w:bookmarkStart w:id="114" w:name="_GoBack"/>
      <w:bookmarkEnd w:id="114"/>
    </w:p>
    <w:p>
      <w:pPr>
        <w:spacing w:line="240" w:lineRule="auto"/>
        <w:ind w:firstLine="420" w:firstLineChars="200"/>
        <w:rPr>
          <w:rFonts w:hint="eastAsia" w:ascii="宋体" w:hAnsi="宋体" w:cs="宋体"/>
        </w:rPr>
      </w:pPr>
      <w:r>
        <w:rPr>
          <w:rFonts w:hint="eastAsia" w:ascii="宋体" w:hAnsi="宋体" w:cs="宋体"/>
        </w:rPr>
        <w:t>本文件为首次发布。</w:t>
      </w: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sectPr>
          <w:headerReference r:id="rId11" w:type="default"/>
          <w:footerReference r:id="rId12" w:type="default"/>
          <w:pgSz w:w="11906" w:h="16838"/>
          <w:pgMar w:top="1134" w:right="1134" w:bottom="1134" w:left="1134" w:header="1418" w:footer="1134" w:gutter="284"/>
          <w:pgNumType w:fmt="upperRoman" w:start="1"/>
          <w:cols w:space="425" w:num="1"/>
          <w:formProt w:val="0"/>
          <w:docGrid w:type="lines" w:linePitch="312" w:charSpace="0"/>
        </w:sectPr>
      </w:pPr>
    </w:p>
    <w:p>
      <w:pPr>
        <w:pStyle w:val="2"/>
      </w:pPr>
    </w:p>
    <w:p>
      <w:pPr>
        <w:spacing w:line="20" w:lineRule="exact"/>
        <w:jc w:val="center"/>
        <w:rPr>
          <w:rFonts w:ascii="黑体" w:hAnsi="黑体" w:eastAsia="黑体"/>
          <w:sz w:val="32"/>
          <w:szCs w:val="32"/>
        </w:rPr>
      </w:pPr>
    </w:p>
    <w:sdt>
      <w:sdtPr>
        <w:tag w:val="NEW_STAND_NAME"/>
        <w:id w:val="595910757"/>
        <w:lock w:val="sdtLocked"/>
        <w:placeholder>
          <w:docPart w:val="1FB72E4006644745AD9D86BC89A540AB"/>
        </w:placeholder>
      </w:sdtPr>
      <w:sdtContent>
        <w:p>
          <w:pPr>
            <w:pStyle w:val="180"/>
            <w:spacing w:before="3" w:beforeLines="1" w:after="686" w:afterLines="220"/>
          </w:pPr>
          <w:bookmarkStart w:id="30" w:name="NEW_STAND_NAME"/>
          <w:r>
            <w:rPr>
              <w:rFonts w:hint="eastAsia" w:ascii="黑体" w:hAnsi="黑体" w:eastAsia="黑体" w:cs="Times New Roman"/>
              <w:kern w:val="2"/>
              <w:sz w:val="32"/>
              <w:szCs w:val="32"/>
              <w:lang w:val="en-US" w:eastAsia="zh-CN" w:bidi="ar-SA"/>
            </w:rPr>
            <w:t>常见忌水性危险化学品灾害事故应急处置指南</w:t>
          </w:r>
        </w:p>
      </w:sdtContent>
    </w:sdt>
    <w:bookmarkEnd w:id="30"/>
    <w:p>
      <w:pPr>
        <w:pStyle w:val="107"/>
        <w:spacing w:before="312" w:after="312"/>
      </w:pPr>
      <w:bookmarkStart w:id="31" w:name="_Toc70234989"/>
      <w:bookmarkStart w:id="32" w:name="_Toc73808462"/>
      <w:bookmarkStart w:id="33" w:name="_Toc70233801"/>
      <w:bookmarkStart w:id="34" w:name="_Toc73809628"/>
      <w:bookmarkStart w:id="35" w:name="_Toc74666215"/>
      <w:bookmarkStart w:id="36" w:name="_Toc26986771"/>
      <w:bookmarkStart w:id="37" w:name="_Toc73808502"/>
      <w:bookmarkStart w:id="38" w:name="_Toc26986530"/>
      <w:bookmarkStart w:id="39" w:name="_Toc76475620"/>
      <w:bookmarkStart w:id="40" w:name="_Toc26718930"/>
      <w:bookmarkStart w:id="41" w:name="_Toc77930097"/>
      <w:bookmarkStart w:id="42" w:name="_Toc24884211"/>
      <w:bookmarkStart w:id="43" w:name="_Toc17233325"/>
      <w:bookmarkStart w:id="44" w:name="_Toc17233333"/>
      <w:bookmarkStart w:id="45" w:name="_Toc24884218"/>
      <w:bookmarkStart w:id="46" w:name="_Toc77692525"/>
      <w:bookmarkStart w:id="47" w:name="_Toc74648221"/>
      <w:bookmarkStart w:id="48" w:name="_Toc76482704"/>
      <w:bookmarkStart w:id="49" w:name="_Toc26648465"/>
      <w:bookmarkStart w:id="50" w:name="_Toc73028371"/>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adjustRightInd w:val="0"/>
        <w:spacing w:line="240" w:lineRule="auto"/>
        <w:ind w:firstLine="420" w:firstLineChars="200"/>
        <w:rPr>
          <w:rFonts w:hint="eastAsia" w:ascii="宋体" w:hAnsi="宋体" w:eastAsia="宋体" w:cs="宋体"/>
          <w:szCs w:val="21"/>
        </w:rPr>
      </w:pPr>
      <w:bookmarkStart w:id="51" w:name="_Toc76482705"/>
      <w:bookmarkStart w:id="52" w:name="_Toc77692526"/>
      <w:bookmarkStart w:id="53" w:name="_Toc73809629"/>
      <w:bookmarkStart w:id="54" w:name="_Toc17233326"/>
      <w:bookmarkStart w:id="55" w:name="_Toc24884212"/>
      <w:bookmarkStart w:id="56" w:name="_Toc73028372"/>
      <w:bookmarkStart w:id="57" w:name="_Toc70233802"/>
      <w:bookmarkStart w:id="58" w:name="_Toc74666216"/>
      <w:bookmarkStart w:id="59" w:name="_Toc26718931"/>
      <w:bookmarkStart w:id="60" w:name="_Toc26648466"/>
      <w:bookmarkStart w:id="61" w:name="_Toc73808503"/>
      <w:bookmarkStart w:id="62" w:name="_Toc77930098"/>
      <w:bookmarkStart w:id="63" w:name="_Toc24884219"/>
      <w:bookmarkStart w:id="64" w:name="_Toc76475621"/>
      <w:bookmarkStart w:id="65" w:name="_Toc17233334"/>
      <w:bookmarkStart w:id="66" w:name="_Toc26986772"/>
      <w:bookmarkStart w:id="67" w:name="_Toc70234990"/>
      <w:bookmarkStart w:id="68" w:name="_Toc73808463"/>
      <w:bookmarkStart w:id="69" w:name="_Toc26986531"/>
      <w:bookmarkStart w:id="70" w:name="_Toc74648222"/>
      <w:r>
        <w:rPr>
          <w:rFonts w:hint="eastAsia" w:ascii="宋体" w:hAnsi="宋体" w:eastAsia="宋体" w:cs="宋体"/>
          <w:szCs w:val="21"/>
        </w:rPr>
        <w:t>本标准规定了常见忌水性危险化学品灾害事故应急处置的术语和定义、总则、救援行动和行动安全。本标准适用于消防救援队伍承担常见忌水性危险化学品灾害事故处置行动，其他专职消防队伍、社会救援力量可参照执行。</w:t>
      </w:r>
    </w:p>
    <w:p>
      <w:pPr>
        <w:pStyle w:val="107"/>
        <w:spacing w:before="312" w:after="312"/>
      </w:pPr>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adjustRightInd w:val="0"/>
        <w:snapToGrid w:val="0"/>
        <w:spacing w:line="240" w:lineRule="auto"/>
        <w:ind w:firstLine="420" w:firstLineChars="200"/>
        <w:rPr>
          <w:rFonts w:hint="eastAsia" w:ascii="宋体" w:hAnsi="宋体" w:eastAsia="宋体" w:cs="宋体"/>
          <w:bCs/>
          <w:kern w:val="0"/>
          <w:szCs w:val="21"/>
        </w:rPr>
      </w:pPr>
      <w:bookmarkStart w:id="71" w:name="_Toc73808504"/>
      <w:bookmarkStart w:id="72" w:name="_Toc77930099"/>
      <w:bookmarkStart w:id="73" w:name="_Toc74648223"/>
      <w:bookmarkStart w:id="74" w:name="_Toc73028373"/>
      <w:bookmarkStart w:id="75" w:name="_Toc77692527"/>
      <w:bookmarkStart w:id="76" w:name="_Toc73809630"/>
      <w:bookmarkStart w:id="77" w:name="_Toc73808464"/>
      <w:bookmarkStart w:id="78" w:name="_Toc74666217"/>
      <w:bookmarkStart w:id="79" w:name="_Toc76482706"/>
      <w:bookmarkStart w:id="80" w:name="_Toc70234991"/>
      <w:bookmarkStart w:id="81" w:name="_Toc70233803"/>
      <w:bookmarkStart w:id="82" w:name="_Toc76475622"/>
      <w:r>
        <w:rPr>
          <w:rFonts w:hint="eastAsia" w:ascii="宋体" w:hAnsi="宋体" w:eastAsia="宋体" w:cs="宋体"/>
          <w:bCs/>
          <w:kern w:val="0"/>
          <w:szCs w:val="21"/>
        </w:rPr>
        <w:t>下列文件对于本指南的应用是必不可少的。凡是注日期的引用文件，仅注日期的版本适用于本指南。凡是不注日期的引用文件，其最新版本（包括所有的修改单）适用于本指南。</w:t>
      </w:r>
    </w:p>
    <w:p>
      <w:pPr>
        <w:adjustRightInd w:val="0"/>
        <w:snapToGrid w:val="0"/>
        <w:spacing w:line="24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 xml:space="preserve">GB/T 29176  消防应急救援 通则 </w:t>
      </w:r>
      <w:r>
        <w:rPr>
          <w:rFonts w:hint="eastAsia" w:ascii="宋体" w:hAnsi="宋体" w:eastAsia="宋体" w:cs="宋体"/>
          <w:bCs/>
          <w:kern w:val="0"/>
          <w:szCs w:val="21"/>
        </w:rPr>
        <w:tab/>
      </w:r>
    </w:p>
    <w:p>
      <w:pPr>
        <w:adjustRightInd w:val="0"/>
        <w:snapToGrid w:val="0"/>
        <w:spacing w:line="24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GB/T 29178  消防应急救援装备配备指南</w:t>
      </w:r>
    </w:p>
    <w:p>
      <w:pPr>
        <w:adjustRightInd w:val="0"/>
        <w:snapToGrid w:val="0"/>
        <w:spacing w:line="24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GB/T 29179  消防应急救援作业规程</w:t>
      </w:r>
    </w:p>
    <w:p>
      <w:pPr>
        <w:adjustRightInd w:val="0"/>
        <w:snapToGrid w:val="0"/>
        <w:spacing w:line="24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GA/T 620    消防职业安全与健康</w:t>
      </w:r>
    </w:p>
    <w:p>
      <w:pPr>
        <w:adjustRightInd w:val="0"/>
        <w:snapToGrid w:val="0"/>
        <w:spacing w:line="24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GB 18218    危险化学品重大危险源辨识</w:t>
      </w:r>
    </w:p>
    <w:p>
      <w:pPr>
        <w:adjustRightInd w:val="0"/>
        <w:snapToGrid w:val="0"/>
        <w:spacing w:line="24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2015版     危险化学品名录</w:t>
      </w:r>
    </w:p>
    <w:p>
      <w:pPr>
        <w:pStyle w:val="107"/>
        <w:spacing w:before="312" w:after="312"/>
      </w:pPr>
      <w:r>
        <w:rPr>
          <w:rFonts w:hint="eastAsia"/>
        </w:rPr>
        <w:t>术语和定义</w:t>
      </w:r>
      <w:bookmarkEnd w:id="71"/>
      <w:bookmarkEnd w:id="72"/>
      <w:bookmarkEnd w:id="73"/>
      <w:bookmarkEnd w:id="74"/>
      <w:bookmarkEnd w:id="75"/>
      <w:bookmarkEnd w:id="76"/>
      <w:bookmarkEnd w:id="77"/>
      <w:bookmarkEnd w:id="78"/>
      <w:bookmarkEnd w:id="79"/>
      <w:bookmarkEnd w:id="80"/>
      <w:bookmarkEnd w:id="81"/>
      <w:bookmarkEnd w:id="82"/>
      <w:bookmarkStart w:id="83" w:name="_Toc26986532"/>
      <w:bookmarkEnd w:id="83"/>
    </w:p>
    <w:p>
      <w:pPr>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5907界定的以及下列术语和定义适用于本指南。</w:t>
      </w:r>
    </w:p>
    <w:p>
      <w:pPr>
        <w:pStyle w:val="226"/>
        <w:ind w:left="420" w:hanging="420" w:hangingChars="200"/>
        <w:rPr>
          <w:rFonts w:ascii="黑体" w:hAnsi="黑体" w:eastAsia="黑体"/>
        </w:rPr>
      </w:pPr>
    </w:p>
    <w:p>
      <w:pPr>
        <w:pStyle w:val="107"/>
        <w:keepNext w:val="0"/>
        <w:keepLines w:val="0"/>
        <w:pageBreakBefore w:val="0"/>
        <w:widowControl/>
        <w:numPr>
          <w:ilvl w:val="0"/>
          <w:numId w:val="0"/>
        </w:numPr>
        <w:kinsoku/>
        <w:wordWrap/>
        <w:overflowPunct/>
        <w:topLinePunct w:val="0"/>
        <w:bidi w:val="0"/>
        <w:adjustRightInd/>
        <w:snapToGrid/>
        <w:spacing w:beforeLines="0" w:afterLines="0"/>
        <w:ind w:firstLine="420" w:firstLineChars="200"/>
        <w:textAlignment w:val="auto"/>
        <w:rPr>
          <w:rFonts w:hint="eastAsia"/>
          <w:lang w:val="en-US" w:eastAsia="zh-CN"/>
        </w:rPr>
      </w:pPr>
      <w:r>
        <w:rPr>
          <w:rFonts w:hint="eastAsia" w:ascii="方正黑体_GBK" w:hAnsi="宋体" w:eastAsia="方正黑体_GBK" w:cs="宋体"/>
        </w:rPr>
        <w:t>危险化学品  h</w:t>
      </w:r>
      <w:r>
        <w:rPr>
          <w:rFonts w:hint="eastAsia" w:ascii="方正黑体_GBK" w:hAnsi="宋体" w:eastAsia="方正黑体_GBK" w:cs="宋体"/>
          <w:color w:val="333333"/>
        </w:rPr>
        <w:t>azardous  chemicals</w:t>
      </w:r>
    </w:p>
    <w:p>
      <w:pPr>
        <w:pStyle w:val="226"/>
        <w:numPr>
          <w:ilvl w:val="2"/>
          <w:numId w:val="0"/>
        </w:numPr>
        <w:ind w:leftChars="-200" w:firstLine="840" w:firstLineChars="400"/>
        <w:rPr>
          <w:rFonts w:ascii="黑体" w:hAnsi="黑体" w:eastAsia="黑体"/>
        </w:rPr>
      </w:pPr>
      <w:r>
        <w:rPr>
          <w:rFonts w:hint="eastAsia" w:ascii="宋体" w:hAnsi="宋体" w:cs="宋体"/>
          <w:kern w:val="0"/>
          <w:szCs w:val="21"/>
        </w:rPr>
        <w:t>具有毒害、腐蚀、爆炸、燃烧、助燃等性质，对人体、设施、环境具有危害的剧毒化学品和其他化学品。</w:t>
      </w:r>
    </w:p>
    <w:p>
      <w:pPr>
        <w:pStyle w:val="226"/>
        <w:ind w:left="420" w:hanging="420" w:hangingChars="200"/>
        <w:rPr>
          <w:rFonts w:ascii="黑体" w:hAnsi="黑体" w:eastAsia="黑体"/>
        </w:rPr>
      </w:pPr>
    </w:p>
    <w:p>
      <w:pPr>
        <w:snapToGrid w:val="0"/>
        <w:spacing w:line="240" w:lineRule="auto"/>
        <w:ind w:firstLine="420" w:firstLineChars="200"/>
        <w:rPr>
          <w:rFonts w:hint="eastAsia" w:ascii="方正黑体_GBK" w:hAnsi="宋体" w:eastAsia="方正黑体_GBK" w:cs="宋体"/>
          <w:color w:val="333333"/>
        </w:rPr>
      </w:pPr>
      <w:r>
        <w:rPr>
          <w:rFonts w:hint="eastAsia" w:ascii="方正黑体_GBK" w:hAnsi="宋体" w:eastAsia="方正黑体_GBK" w:cs="宋体"/>
        </w:rPr>
        <w:t xml:space="preserve">忌水性危险化学品  </w:t>
      </w:r>
      <w:r>
        <w:rPr>
          <w:rFonts w:hint="eastAsia" w:hAnsi="宋体" w:eastAsia="方正黑体_GBK" w:cs="宋体"/>
          <w:color w:val="333333"/>
          <w:shd w:val="clear" w:color="auto" w:fill="FFFFFF"/>
        </w:rPr>
        <w:t> </w:t>
      </w:r>
      <w:r>
        <w:rPr>
          <w:rFonts w:hint="eastAsia" w:ascii="方正黑体_GBK" w:hAnsi="宋体" w:eastAsia="方正黑体_GBK" w:cs="宋体"/>
          <w:color w:val="333333"/>
        </w:rPr>
        <w:t>water-resistant  hazardous  chemicals</w:t>
      </w:r>
    </w:p>
    <w:p>
      <w:pPr>
        <w:snapToGrid w:val="0"/>
        <w:spacing w:line="240" w:lineRule="auto"/>
        <w:ind w:firstLine="420" w:firstLineChars="200"/>
        <w:rPr>
          <w:rFonts w:ascii="宋体" w:hAnsi="宋体" w:cs="宋体"/>
        </w:rPr>
      </w:pPr>
      <w:r>
        <w:rPr>
          <w:rFonts w:hint="eastAsia" w:ascii="宋体" w:hAnsi="宋体" w:cs="宋体"/>
          <w:szCs w:val="21"/>
        </w:rPr>
        <w:t>有些危险化学品遇水、酸、碱或受潮时，可发生剧烈的化学反应并释放出大量的易燃气体、有毒气体、腐蚀气体和热量，当热量达到可燃气体自燃点或接触外来火源时会立即燃烧或爆炸，并极易造成人员伤亡。</w:t>
      </w:r>
    </w:p>
    <w:p>
      <w:pPr>
        <w:pStyle w:val="226"/>
        <w:ind w:left="420" w:hanging="420" w:hangingChars="200"/>
        <w:rPr>
          <w:rFonts w:ascii="黑体" w:hAnsi="黑体" w:eastAsia="黑体"/>
        </w:rPr>
      </w:pPr>
    </w:p>
    <w:p>
      <w:pPr>
        <w:pStyle w:val="59"/>
        <w:keepNext w:val="0"/>
        <w:keepLines w:val="0"/>
        <w:pageBreakBefore w:val="0"/>
        <w:kinsoku/>
        <w:wordWrap/>
        <w:overflowPunct/>
        <w:topLinePunct w:val="0"/>
        <w:bidi w:val="0"/>
        <w:snapToGrid/>
        <w:spacing w:line="240" w:lineRule="auto"/>
        <w:ind w:firstLine="420"/>
        <w:textAlignment w:val="auto"/>
        <w:rPr>
          <w:rFonts w:hint="eastAsia" w:ascii="方正黑体_GBK" w:hAnsi="宋体" w:eastAsia="方正黑体_GBK" w:cs="宋体"/>
        </w:rPr>
      </w:pPr>
      <w:r>
        <w:rPr>
          <w:rFonts w:hint="eastAsia" w:ascii="方正黑体_GBK" w:hAnsi="宋体" w:eastAsia="方正黑体_GBK" w:cs="宋体"/>
        </w:rPr>
        <w:t>应急救援预案  fire emergency rescue plan</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针对忌水性危险化学品可能发生的灾害事故，预先谋划推演的行动方案。</w:t>
      </w:r>
    </w:p>
    <w:p>
      <w:pPr>
        <w:pStyle w:val="226"/>
        <w:ind w:left="420" w:hanging="420" w:hangingChars="200"/>
        <w:rPr>
          <w:rFonts w:ascii="黑体" w:hAnsi="黑体" w:eastAsia="黑体"/>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方正黑体_GBK" w:hAnsi="宋体" w:eastAsia="方正黑体_GBK" w:cs="宋体"/>
          <w:kern w:val="0"/>
          <w:szCs w:val="21"/>
        </w:rPr>
      </w:pPr>
      <w:r>
        <w:rPr>
          <w:rFonts w:hint="eastAsia" w:ascii="方正黑体_GBK" w:hAnsi="宋体" w:eastAsia="方正黑体_GBK" w:cs="宋体"/>
          <w:kern w:val="0"/>
          <w:szCs w:val="21"/>
        </w:rPr>
        <w:t>分级响应  graded  response</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按照火警和应急救援等级调派进行灭火救援作战编成和力量调度的行动。</w:t>
      </w:r>
    </w:p>
    <w:p>
      <w:pPr>
        <w:pStyle w:val="226"/>
        <w:ind w:left="420" w:hanging="420" w:hangingChars="200"/>
      </w:pPr>
    </w:p>
    <w:p>
      <w:pPr>
        <w:pStyle w:val="237"/>
        <w:keepNext w:val="0"/>
        <w:keepLines w:val="0"/>
        <w:pageBreakBefore w:val="0"/>
        <w:numPr>
          <w:ilvl w:val="0"/>
          <w:numId w:val="0"/>
        </w:numPr>
        <w:kinsoku/>
        <w:wordWrap/>
        <w:overflowPunct/>
        <w:topLinePunct w:val="0"/>
        <w:autoSpaceDE/>
        <w:autoSpaceDN/>
        <w:bidi w:val="0"/>
        <w:spacing w:before="0" w:beforeLines="0" w:after="0" w:afterLines="0"/>
        <w:ind w:firstLine="420" w:firstLineChars="200"/>
        <w:textAlignment w:val="auto"/>
        <w:rPr>
          <w:rFonts w:hint="eastAsia" w:ascii="方正黑体_GBK" w:hAnsi="宋体" w:eastAsia="方正黑体_GBK" w:cs="宋体"/>
        </w:rPr>
      </w:pPr>
      <w:bookmarkStart w:id="84" w:name="_Toc70097480"/>
      <w:r>
        <w:rPr>
          <w:rFonts w:hint="eastAsia" w:ascii="方正黑体_GBK" w:hAnsi="宋体" w:eastAsia="方正黑体_GBK" w:cs="宋体"/>
        </w:rPr>
        <w:t>协同作战  coordinated  fire</w:t>
      </w:r>
      <w:r>
        <w:rPr>
          <w:rFonts w:hint="eastAsia" w:hAnsi="宋体" w:cs="宋体"/>
        </w:rPr>
        <w:t xml:space="preserve">  </w:t>
      </w:r>
      <w:r>
        <w:rPr>
          <w:rFonts w:hint="eastAsia" w:ascii="方正黑体_GBK" w:hAnsi="宋体" w:eastAsia="方正黑体_GBK" w:cs="宋体"/>
        </w:rPr>
        <w:t>action</w:t>
      </w:r>
    </w:p>
    <w:p>
      <w:pPr>
        <w:keepNext w:val="0"/>
        <w:keepLines w:val="0"/>
        <w:pageBreakBefore w:val="0"/>
        <w:kinsoku/>
        <w:wordWrap/>
        <w:overflowPunct/>
        <w:topLinePunct w:val="0"/>
        <w:autoSpaceDE/>
        <w:autoSpaceDN/>
        <w:bidi w:val="0"/>
        <w:snapToGrid w:val="0"/>
        <w:spacing w:line="240" w:lineRule="auto"/>
        <w:ind w:firstLine="420" w:firstLineChars="200"/>
        <w:textAlignment w:val="auto"/>
        <w:rPr>
          <w:rFonts w:ascii="黑体" w:hAnsi="黑体" w:eastAsia="黑体"/>
        </w:rPr>
      </w:pPr>
      <w:r>
        <w:rPr>
          <w:rFonts w:hint="eastAsia" w:ascii="宋体" w:hAnsi="宋体" w:cs="宋体"/>
        </w:rPr>
        <w:t>根据总指挥部的统一部署，各方参战力量分工负责、相互配合的作战行动。</w:t>
      </w:r>
      <w:bookmarkEnd w:id="84"/>
    </w:p>
    <w:p>
      <w:pPr>
        <w:pStyle w:val="107"/>
        <w:spacing w:before="312" w:after="312"/>
      </w:pPr>
      <w:r>
        <w:rPr>
          <w:rFonts w:hint="eastAsia" w:hAnsi="黑体" w:cs="黑体"/>
          <w:bCs/>
          <w:szCs w:val="21"/>
          <w:lang w:eastAsia="zh-CN"/>
        </w:rPr>
        <w:t>总则</w:t>
      </w:r>
    </w:p>
    <w:p>
      <w:pPr>
        <w:pStyle w:val="226"/>
        <w:ind w:left="420" w:hanging="420" w:hangingChars="200"/>
        <w:rPr>
          <w:rFonts w:hint="eastAsia"/>
        </w:rPr>
      </w:pPr>
    </w:p>
    <w:p>
      <w:pPr>
        <w:pStyle w:val="226"/>
        <w:keepNext w:val="0"/>
        <w:keepLines w:val="0"/>
        <w:pageBreakBefore w:val="0"/>
        <w:widowControl/>
        <w:numPr>
          <w:ilvl w:val="2"/>
          <w:numId w:val="0"/>
        </w:numPr>
        <w:kinsoku/>
        <w:wordWrap/>
        <w:overflowPunct/>
        <w:topLinePunct w:val="0"/>
        <w:autoSpaceDE/>
        <w:autoSpaceDN/>
        <w:bidi w:val="0"/>
        <w:adjustRightInd/>
        <w:snapToGrid/>
        <w:ind w:left="-420" w:leftChars="-200" w:firstLine="840" w:firstLineChars="400"/>
        <w:textAlignment w:val="auto"/>
        <w:rPr>
          <w:rFonts w:hint="eastAsia"/>
        </w:rPr>
      </w:pPr>
      <w:r>
        <w:rPr>
          <w:rFonts w:hint="eastAsia"/>
        </w:rPr>
        <w:t>常见忌水性危险化学品灾害事故应急处置行动应按照“迅速有序、科学高效、安全环保”的处置原</w:t>
      </w:r>
    </w:p>
    <w:p>
      <w:pPr>
        <w:pStyle w:val="226"/>
        <w:keepNext w:val="0"/>
        <w:keepLines w:val="0"/>
        <w:pageBreakBefore w:val="0"/>
        <w:widowControl/>
        <w:numPr>
          <w:ilvl w:val="2"/>
          <w:numId w:val="0"/>
        </w:numPr>
        <w:kinsoku/>
        <w:wordWrap/>
        <w:overflowPunct/>
        <w:topLinePunct w:val="0"/>
        <w:autoSpaceDE/>
        <w:autoSpaceDN/>
        <w:bidi w:val="0"/>
        <w:adjustRightInd/>
        <w:snapToGrid/>
        <w:ind w:left="-420" w:leftChars="-200" w:firstLine="840" w:firstLineChars="400"/>
        <w:textAlignment w:val="auto"/>
        <w:rPr>
          <w:rFonts w:hint="eastAsia"/>
        </w:rPr>
      </w:pPr>
      <w:r>
        <w:rPr>
          <w:rFonts w:hint="eastAsia"/>
        </w:rPr>
        <w:t xml:space="preserve">则，严密组织、严格防护、确保安全。 </w:t>
      </w:r>
    </w:p>
    <w:p>
      <w:pPr>
        <w:pStyle w:val="226"/>
        <w:ind w:left="420" w:hanging="420" w:hangingChars="200"/>
        <w:rPr>
          <w:rFonts w:hint="eastAsia" w:ascii="宋体" w:hAnsi="宋体" w:cs="宋体"/>
          <w:szCs w:val="21"/>
        </w:rPr>
      </w:pPr>
    </w:p>
    <w:p>
      <w:pPr>
        <w:pStyle w:val="226"/>
        <w:keepNext w:val="0"/>
        <w:keepLines w:val="0"/>
        <w:pageBreakBefore w:val="0"/>
        <w:widowControl/>
        <w:numPr>
          <w:ilvl w:val="2"/>
          <w:numId w:val="0"/>
        </w:numPr>
        <w:kinsoku/>
        <w:wordWrap/>
        <w:overflowPunct/>
        <w:topLinePunct w:val="0"/>
        <w:autoSpaceDE/>
        <w:autoSpaceDN/>
        <w:bidi w:val="0"/>
        <w:adjustRightInd/>
        <w:snapToGrid/>
        <w:ind w:left="-420" w:leftChars="-200" w:firstLine="840" w:firstLineChars="400"/>
        <w:textAlignment w:val="auto"/>
        <w:rPr>
          <w:rFonts w:hint="eastAsia"/>
        </w:rPr>
      </w:pPr>
      <w:r>
        <w:rPr>
          <w:rFonts w:hint="eastAsia"/>
        </w:rPr>
        <w:t>常见忌水性危险化学品应急处置行动在政府的统一领导下，在技术人员和相关领域专家的指导下，</w:t>
      </w:r>
    </w:p>
    <w:p>
      <w:pPr>
        <w:pStyle w:val="226"/>
        <w:keepNext w:val="0"/>
        <w:keepLines w:val="0"/>
        <w:pageBreakBefore w:val="0"/>
        <w:widowControl/>
        <w:numPr>
          <w:ilvl w:val="2"/>
          <w:numId w:val="0"/>
        </w:numPr>
        <w:kinsoku/>
        <w:wordWrap/>
        <w:overflowPunct/>
        <w:topLinePunct w:val="0"/>
        <w:autoSpaceDE/>
        <w:autoSpaceDN/>
        <w:bidi w:val="0"/>
        <w:adjustRightInd/>
        <w:snapToGrid/>
        <w:ind w:left="-420" w:leftChars="-200" w:firstLine="840" w:firstLineChars="400"/>
        <w:textAlignment w:val="auto"/>
        <w:rPr>
          <w:rFonts w:hint="eastAsia"/>
        </w:rPr>
      </w:pPr>
      <w:r>
        <w:rPr>
          <w:rFonts w:hint="eastAsia"/>
        </w:rPr>
        <w:t>由消防救援队伍具体组织和指挥，协同单位按照应急救援预案分级响应、密切配合、协同作战。</w:t>
      </w:r>
    </w:p>
    <w:p>
      <w:pPr>
        <w:pStyle w:val="107"/>
        <w:spacing w:before="312" w:after="312"/>
      </w:pPr>
      <w:r>
        <w:rPr>
          <w:rFonts w:hint="eastAsia" w:hAnsi="黑体" w:cs="黑体"/>
          <w:szCs w:val="21"/>
        </w:rPr>
        <w:t>处置行动</w:t>
      </w:r>
    </w:p>
    <w:p>
      <w:pPr>
        <w:pStyle w:val="108"/>
        <w:spacing w:before="156" w:after="156"/>
      </w:pPr>
      <w:r>
        <w:rPr>
          <w:rFonts w:hint="eastAsia"/>
        </w:rPr>
        <w:t>接警出动</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消防救援指挥中心应按照灾情受理程序和方法，快速准确受理灾情报警。</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针对报警信息做出初步判断，根据灾害事故地点、危险化学品名称、理化性质、包装形式、扩散范围、人员被困数量等情况实施力量调度。</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消防救援人员应按危险等级穿着相应的防护装备，携带侦检、警戒、防化、洗消、通信等装备、防爆器材和无火花工具。</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针对不同类别灾情，优先调集干粉消防车、抢险救援车、无人机、灭火机器人、灭火毯、抗溶性泡沫、干砂土、干石灰、干水泥等到场。</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视情调集公安、应急、环境、市政、医疗救护等应急联动部门和技术专家到场协助救援。</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及时调用社会力量和企业资源，做好相关保障工作。</w:t>
      </w:r>
    </w:p>
    <w:p>
      <w:pPr>
        <w:pStyle w:val="68"/>
        <w:spacing w:beforeLines="0" w:afterLines="0"/>
        <w:rPr>
          <w:rFonts w:ascii="宋体" w:hAnsi="宋体" w:eastAsia="宋体" w:cs="宋体"/>
          <w:bCs/>
          <w:szCs w:val="21"/>
        </w:rPr>
      </w:pPr>
      <w:r>
        <w:rPr>
          <w:rFonts w:hint="eastAsia" w:ascii="宋体" w:hAnsi="宋体" w:eastAsia="宋体" w:cs="宋体"/>
          <w:bCs/>
          <w:szCs w:val="21"/>
        </w:rPr>
        <w:t>出动力量应实时掌握事故现场情况，提前进行任务分工，实施途中指挥。</w:t>
      </w:r>
    </w:p>
    <w:p>
      <w:pPr>
        <w:pStyle w:val="108"/>
        <w:spacing w:before="156" w:after="156"/>
      </w:pPr>
      <w:r>
        <w:rPr>
          <w:rFonts w:hint="eastAsia"/>
          <w:lang w:eastAsia="zh-CN"/>
        </w:rPr>
        <w:t>行动准备</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成立现场救援指挥部，确立总指挥，并对现场灾情进行充分研判和分析评估。</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合理进行人员分工，成立作战小组，设置现场安全员，明确撤离信号，做好救援准备。</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深入危险区域实施侦检、作业等人员，必须穿着防化服，内着全棉防静电衣物，携带防爆器材和无火花工具，避免皮肤直接接触忌水性危险化学品。</w:t>
      </w:r>
    </w:p>
    <w:p>
      <w:pPr>
        <w:pStyle w:val="68"/>
        <w:spacing w:beforeLines="0" w:afterLines="0"/>
        <w:rPr>
          <w:rFonts w:ascii="宋体" w:hAnsi="宋体" w:cs="宋体"/>
          <w:szCs w:val="21"/>
        </w:rPr>
      </w:pPr>
      <w:r>
        <w:rPr>
          <w:rFonts w:hint="eastAsia" w:ascii="宋体" w:hAnsi="宋体" w:eastAsia="宋体" w:cs="宋体"/>
          <w:bCs/>
          <w:szCs w:val="21"/>
        </w:rPr>
        <w:t>对灾情充分评估、研判的基础上，具备救援条件的，方可组织进攻行动。</w:t>
      </w:r>
    </w:p>
    <w:p>
      <w:pPr>
        <w:pStyle w:val="108"/>
        <w:spacing w:before="156" w:after="156"/>
      </w:pPr>
      <w:bookmarkStart w:id="85" w:name="_Toc70172036"/>
      <w:bookmarkStart w:id="86" w:name="_Toc70172138"/>
      <w:bookmarkStart w:id="87" w:name="_Toc70235003"/>
      <w:r>
        <w:rPr>
          <w:rFonts w:hint="eastAsia" w:ascii="宋体" w:hAnsi="宋体" w:cs="宋体"/>
          <w:szCs w:val="21"/>
        </w:rPr>
        <w:t>侦察检测</w:t>
      </w:r>
    </w:p>
    <w:p>
      <w:pPr>
        <w:pStyle w:val="68"/>
        <w:spacing w:beforeLines="0" w:afterLines="0"/>
        <w:rPr>
          <w:rFonts w:hint="eastAsia" w:ascii="宋体" w:hAnsi="宋体" w:eastAsia="宋体" w:cs="宋体"/>
          <w:bCs/>
          <w:szCs w:val="21"/>
        </w:rPr>
      </w:pPr>
      <w:bookmarkStart w:id="88" w:name="_Toc73808475"/>
      <w:bookmarkStart w:id="89" w:name="_Toc73028385"/>
      <w:bookmarkStart w:id="90" w:name="_Toc74648233"/>
      <w:bookmarkStart w:id="91" w:name="_Toc76475632"/>
      <w:bookmarkStart w:id="92" w:name="_Toc73809641"/>
      <w:bookmarkStart w:id="93" w:name="_Toc73808515"/>
      <w:bookmarkStart w:id="94" w:name="_Toc77692537"/>
      <w:bookmarkStart w:id="95" w:name="_Toc77930109"/>
      <w:bookmarkStart w:id="96" w:name="_Toc74666227"/>
      <w:bookmarkStart w:id="97" w:name="_Toc76482716"/>
      <w:bookmarkStart w:id="98" w:name="_Toc72766835"/>
      <w:bookmarkStart w:id="99" w:name="_Toc72766806"/>
      <w:bookmarkStart w:id="100" w:name="_Toc72774661"/>
      <w:bookmarkStart w:id="101" w:name="_Toc68210197"/>
      <w:bookmarkStart w:id="102" w:name="_Toc68251270"/>
      <w:r>
        <w:rPr>
          <w:rFonts w:hint="eastAsia" w:ascii="宋体" w:hAnsi="宋体" w:eastAsia="宋体" w:cs="宋体"/>
          <w:bCs/>
          <w:szCs w:val="21"/>
        </w:rPr>
        <w:t>通过询问知情人、现场侦察和仪器检测等方法，查清现场有无人员伤亡及其具体位置、可燃有毒等气体浓度及可能发生的危害等情况。</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询问事故目击者、报警人、当事人等知情人，了解事故发生的经过、原因、已采取处置措施等情况。</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查明忌水性危险化学品名称、包装形式、储存数量，掌握事故现场扩散范围及周边地势地貌、道路交通等情况。</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测定现场及周围区域的风向、风速、气温等气象数据，掌握事故区域气体流动方向。</w:t>
      </w:r>
    </w:p>
    <w:bookmarkEnd w:id="88"/>
    <w:bookmarkEnd w:id="89"/>
    <w:bookmarkEnd w:id="90"/>
    <w:bookmarkEnd w:id="91"/>
    <w:bookmarkEnd w:id="92"/>
    <w:bookmarkEnd w:id="93"/>
    <w:bookmarkEnd w:id="94"/>
    <w:bookmarkEnd w:id="95"/>
    <w:bookmarkEnd w:id="96"/>
    <w:bookmarkEnd w:id="97"/>
    <w:p>
      <w:pPr>
        <w:pStyle w:val="108"/>
        <w:spacing w:before="156" w:after="156"/>
      </w:pPr>
      <w:r>
        <w:rPr>
          <w:rFonts w:hint="eastAsia" w:ascii="宋体" w:hAnsi="宋体" w:cs="宋体"/>
          <w:szCs w:val="21"/>
        </w:rPr>
        <w:t>设置警戒</w:t>
      </w:r>
    </w:p>
    <w:p>
      <w:pPr>
        <w:pStyle w:val="68"/>
        <w:spacing w:beforeLines="0" w:afterLines="0"/>
        <w:rPr>
          <w:rFonts w:hint="eastAsia" w:ascii="宋体" w:hAnsi="宋体" w:eastAsia="宋体" w:cs="宋体"/>
          <w:bCs/>
          <w:szCs w:val="21"/>
        </w:rPr>
      </w:pPr>
      <w:bookmarkStart w:id="103" w:name="_Toc77930110"/>
      <w:bookmarkStart w:id="104" w:name="_Toc73809642"/>
      <w:bookmarkStart w:id="105" w:name="_Toc73808516"/>
      <w:bookmarkStart w:id="106" w:name="_Toc73808476"/>
      <w:bookmarkStart w:id="107" w:name="_Toc77692538"/>
      <w:bookmarkStart w:id="108" w:name="_Toc74666228"/>
      <w:bookmarkStart w:id="109" w:name="_Toc74648234"/>
      <w:bookmarkStart w:id="110" w:name="_Toc76475633"/>
      <w:bookmarkStart w:id="111" w:name="_Toc73028386"/>
      <w:bookmarkStart w:id="112" w:name="_Toc76482717"/>
      <w:r>
        <w:rPr>
          <w:rFonts w:hint="eastAsia" w:ascii="宋体" w:hAnsi="宋体" w:eastAsia="宋体" w:cs="宋体"/>
          <w:bCs/>
          <w:szCs w:val="21"/>
        </w:rPr>
        <w:t>根据事故现场侦察检测的情况，确定警戒范围，实施交通管制。</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划定警戒区域，设立明显警戒标识，布置专人负责，严格禁止无关人员、车辆进入。</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对事故现场全程侦察检测，情况发生变化时，及时调整警戒范围。</w:t>
      </w:r>
    </w:p>
    <w:bookmarkEnd w:id="98"/>
    <w:bookmarkEnd w:id="99"/>
    <w:bookmarkEnd w:id="100"/>
    <w:bookmarkEnd w:id="103"/>
    <w:bookmarkEnd w:id="104"/>
    <w:bookmarkEnd w:id="105"/>
    <w:bookmarkEnd w:id="106"/>
    <w:bookmarkEnd w:id="107"/>
    <w:bookmarkEnd w:id="108"/>
    <w:bookmarkEnd w:id="109"/>
    <w:bookmarkEnd w:id="110"/>
    <w:bookmarkEnd w:id="111"/>
    <w:bookmarkEnd w:id="112"/>
    <w:p>
      <w:pPr>
        <w:pStyle w:val="108"/>
        <w:spacing w:before="156" w:after="156"/>
      </w:pPr>
      <w:r>
        <w:rPr>
          <w:rFonts w:hint="eastAsia" w:ascii="宋体" w:hAnsi="宋体" w:cs="宋体"/>
          <w:szCs w:val="21"/>
        </w:rPr>
        <w:t>疏散救人</w:t>
      </w:r>
    </w:p>
    <w:p>
      <w:pPr>
        <w:pStyle w:val="168"/>
        <w:rPr>
          <w:rFonts w:hint="eastAsia" w:hAnsi="宋体" w:cs="宋体"/>
          <w:bCs/>
          <w:szCs w:val="21"/>
        </w:rPr>
      </w:pPr>
      <w:r>
        <w:rPr>
          <w:rFonts w:hint="eastAsia" w:hAnsi="宋体" w:cs="宋体"/>
          <w:bCs/>
          <w:szCs w:val="21"/>
        </w:rPr>
        <w:t>将事故区域可能波及范围内的人员，迅速疏散到上风或侧上风方向的安全地带。</w:t>
      </w:r>
    </w:p>
    <w:p>
      <w:pPr>
        <w:pStyle w:val="168"/>
        <w:rPr>
          <w:rFonts w:hint="eastAsia" w:hAnsi="宋体" w:cs="宋体"/>
          <w:bCs/>
          <w:szCs w:val="21"/>
        </w:rPr>
      </w:pPr>
      <w:r>
        <w:rPr>
          <w:rFonts w:hint="eastAsia" w:hAnsi="宋体" w:cs="宋体"/>
          <w:bCs/>
          <w:szCs w:val="21"/>
        </w:rPr>
        <w:t>科学合理选择疏散方向、疏散路线，避开危险源，并做好被困人员个人防护。</w:t>
      </w:r>
    </w:p>
    <w:p>
      <w:pPr>
        <w:pStyle w:val="168"/>
        <w:rPr>
          <w:rFonts w:hint="eastAsia" w:hAnsi="宋体" w:cs="宋体"/>
          <w:bCs/>
          <w:szCs w:val="21"/>
        </w:rPr>
      </w:pPr>
      <w:r>
        <w:rPr>
          <w:rFonts w:hint="eastAsia" w:hAnsi="宋体" w:cs="宋体"/>
          <w:bCs/>
          <w:szCs w:val="21"/>
        </w:rPr>
        <w:t>对现场受伤人员应由具备急救资质的人员进行现场急救，并立即通知医疗救护部门进行救治。</w:t>
      </w:r>
    </w:p>
    <w:p>
      <w:pPr>
        <w:pStyle w:val="108"/>
        <w:spacing w:before="156" w:after="156"/>
      </w:pPr>
      <w:r>
        <w:rPr>
          <w:rFonts w:hint="eastAsia" w:ascii="宋体" w:hAnsi="宋体" w:cs="宋体"/>
          <w:color w:val="000000"/>
          <w:szCs w:val="21"/>
        </w:rPr>
        <w:t>灾情处置</w:t>
      </w:r>
    </w:p>
    <w:p>
      <w:pPr>
        <w:pStyle w:val="68"/>
        <w:spacing w:beforeLines="0" w:afterLines="0"/>
        <w:rPr>
          <w:rFonts w:hint="eastAsia" w:ascii="宋体" w:hAnsi="宋体" w:cs="宋体"/>
          <w:szCs w:val="21"/>
        </w:rPr>
      </w:pPr>
      <w:r>
        <w:rPr>
          <w:rFonts w:hint="eastAsia" w:ascii="宋体" w:hAnsi="宋体" w:eastAsia="宋体" w:cs="宋体"/>
          <w:bCs/>
          <w:szCs w:val="21"/>
        </w:rPr>
        <w:t>泄漏事故处置</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（1）科学使用作战力量，按照人员精干、装备精良、方法精确的原则制定方案，快速有效展开行动。</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（2）视情优先使用干粉、干沙子、干石灰、灭火毯等控制泄漏蔓延。</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（3）禁绝任何火源，泄漏区域禁止明火或其他形式的闪光或火花。</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（4）正确选择进攻路线，在上风或侧上风方向设置阵地，并保持一定的安全距离。</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（5）在确保安全的前提下实施阻漏，必要时，可用水雾配合相应的洗消剂中和、稀释降毒，切勿将水直接喷向泄漏区或容器内。</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（6）用大量干沙子、干石灰或灭火毯等覆盖或吸附，必要时筑堤围堰。</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（7）防止泄漏物进入排水沟、下水道、地下室或其他密闭空间，发生次生灾害。</w:t>
      </w:r>
    </w:p>
    <w:p>
      <w:pPr>
        <w:pStyle w:val="68"/>
        <w:spacing w:beforeLines="0" w:afterLines="0"/>
        <w:rPr>
          <w:rFonts w:ascii="宋体" w:hAnsi="宋体" w:eastAsia="宋体" w:cs="宋体"/>
        </w:rPr>
      </w:pPr>
      <w:r>
        <w:rPr>
          <w:rFonts w:hint="eastAsia" w:ascii="宋体" w:hAnsi="宋体" w:eastAsia="宋体" w:cs="宋体"/>
          <w:bCs/>
          <w:szCs w:val="21"/>
        </w:rPr>
        <w:t>燃烧或爆炸事故处置</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（1）科学使用作战力量，按照人员精干、装备精良、方法精确的原则制定方案，快速有效展开行动。</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（2）视情优先使用干粉、泡沫等灭火药剂或干沙、干石灰等控制火势蔓延。</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（3）正确选择进攻路线，在上风或侧上风方向设置阵地，并保持一定的安全距离。</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（4）按照“先控制、后消灭”的原则，控制火势蔓延，实施冷却，稀释降毒。</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（5）正确选择灭火药剂。镁、锂等金属，可用干沙子、干石灰、氯化钠粉末等进行覆盖灭火；可燃液体应用二氧化碳和干粉扑救；油类、醇类、醚类、氯硅烷及其衍生物等可选用抗溶性泡沫灭火剂实施灭火。</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（6）对于液体流淌火，必要时，筑堤围堰，防止火势蔓延。</w:t>
      </w:r>
    </w:p>
    <w:p>
      <w:pPr>
        <w:pStyle w:val="59"/>
        <w:keepNext w:val="0"/>
        <w:keepLines w:val="0"/>
        <w:pageBreakBefore w:val="0"/>
        <w:kinsoku/>
        <w:wordWrap/>
        <w:overflowPunct/>
        <w:topLinePunct w:val="0"/>
        <w:bidi w:val="0"/>
        <w:snapToGrid/>
        <w:spacing w:line="240" w:lineRule="auto"/>
        <w:textAlignment w:val="auto"/>
      </w:pPr>
      <w:r>
        <w:rPr>
          <w:rFonts w:hint="eastAsia" w:ascii="宋体" w:hAnsi="宋体" w:cs="宋体"/>
          <w:szCs w:val="21"/>
        </w:rPr>
        <w:t>（7）防止消防废水进入排水沟、下水道等处，发生次生灾害。</w:t>
      </w:r>
    </w:p>
    <w:p>
      <w:pPr>
        <w:pStyle w:val="108"/>
        <w:spacing w:before="156" w:after="156"/>
      </w:pPr>
      <w:r>
        <w:rPr>
          <w:rFonts w:hint="eastAsia" w:ascii="黑体" w:hAnsi="黑体" w:eastAsia="黑体" w:cs="黑体"/>
          <w:szCs w:val="21"/>
        </w:rPr>
        <w:t>洗消处理</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正确使用洗消药剂，对人员、车辆、器材、场地进行洗消。</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对事故处置和洗消过程中产生的废物、污水等，经环保部门检测合格后集中处理或排放。</w:t>
      </w:r>
    </w:p>
    <w:p>
      <w:pPr>
        <w:pStyle w:val="108"/>
        <w:spacing w:before="156" w:after="156"/>
      </w:pPr>
      <w:r>
        <w:rPr>
          <w:rFonts w:hint="eastAsia" w:hAnsi="黑体" w:cs="黑体"/>
        </w:rPr>
        <w:t>勤务保障</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坚持“自我保障与社会保障相结合、物资保障与技术保障相统筹”的原则。</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应保证事故现场充足的灭火救援装备、灭火药剂、洗消药剂及干沙子、干石灰等。</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加强餐饮保障，特别是夜间出警和长时间作战要准备足够的食物，确保现场饮食的供给，及时补充身体热量。</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视情沟通器材装备生产厂家、社会维保企业等单位，及时为救援现场扑救提供物资和技术支持。</w:t>
      </w:r>
    </w:p>
    <w:p>
      <w:pPr>
        <w:pStyle w:val="108"/>
        <w:spacing w:before="156" w:after="156"/>
      </w:pPr>
      <w:r>
        <w:rPr>
          <w:rFonts w:hint="eastAsia" w:hAnsi="黑体" w:cs="黑体"/>
        </w:rPr>
        <w:t>信息管理</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宋体" w:cs="宋体"/>
          <w:szCs w:val="21"/>
        </w:rPr>
      </w:pPr>
      <w:r>
        <w:rPr>
          <w:rFonts w:hint="eastAsia" w:ascii="宋体" w:hAnsi="宋体" w:cs="宋体"/>
          <w:szCs w:val="21"/>
        </w:rPr>
        <w:t>指挥部要实时跟进事故现场情况，及时收发和更新各类信息，协调其他救援力量，及时、准确、客观、全面发布现场信息。</w:t>
      </w:r>
    </w:p>
    <w:p>
      <w:pPr>
        <w:pStyle w:val="108"/>
        <w:spacing w:before="156" w:after="156"/>
      </w:pPr>
      <w:r>
        <w:rPr>
          <w:rFonts w:hint="eastAsia" w:ascii="黑体" w:hAnsi="黑体" w:eastAsia="黑体" w:cs="黑体"/>
          <w:szCs w:val="21"/>
        </w:rPr>
        <w:t>清理移交</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应全面、细致地清理现场，较大面积灾害现场应分区域清理检查。</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清点人员、车辆及器材装备。</w:t>
      </w:r>
    </w:p>
    <w:p>
      <w:pPr>
        <w:pStyle w:val="68"/>
        <w:spacing w:beforeLines="0" w:afterLines="0"/>
        <w:rPr>
          <w:rFonts w:hint="eastAsia" w:ascii="宋体" w:hAnsi="宋体" w:eastAsia="宋体" w:cs="宋体"/>
          <w:bCs/>
          <w:szCs w:val="21"/>
        </w:rPr>
      </w:pPr>
      <w:r>
        <w:rPr>
          <w:rFonts w:hint="eastAsia" w:ascii="宋体" w:hAnsi="宋体" w:eastAsia="宋体" w:cs="宋体"/>
          <w:bCs/>
          <w:szCs w:val="21"/>
        </w:rPr>
        <w:t>协调公安等有关部门做好现场移交、医疗救护部门做好伤员移交工作。</w:t>
      </w:r>
    </w:p>
    <w:p>
      <w:pPr>
        <w:pStyle w:val="107"/>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ascii="黑体" w:hAnsi="黑体" w:eastAsia="黑体" w:cs="黑体"/>
          <w:szCs w:val="21"/>
        </w:rPr>
        <w:t>行动安全</w:t>
      </w:r>
    </w:p>
    <w:p>
      <w:pPr>
        <w:pStyle w:val="108"/>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bCs/>
          <w:szCs w:val="21"/>
        </w:rPr>
      </w:pPr>
      <w:r>
        <w:rPr>
          <w:rFonts w:hint="eastAsia" w:ascii="宋体" w:hAnsi="宋体" w:eastAsia="宋体" w:cs="宋体"/>
          <w:bCs/>
          <w:szCs w:val="21"/>
        </w:rPr>
        <w:t>坚持指战员“生命至上”的</w:t>
      </w:r>
      <w:r>
        <w:rPr>
          <w:rFonts w:hint="eastAsia" w:ascii="宋体" w:hAnsi="宋体" w:eastAsia="宋体" w:cs="宋体"/>
          <w:bCs/>
          <w:szCs w:val="21"/>
          <w:lang w:eastAsia="zh-CN"/>
        </w:rPr>
        <w:t>指导思想</w:t>
      </w:r>
      <w:r>
        <w:rPr>
          <w:rFonts w:hint="eastAsia" w:ascii="宋体" w:hAnsi="宋体" w:eastAsia="宋体" w:cs="宋体"/>
          <w:bCs/>
          <w:szCs w:val="21"/>
        </w:rPr>
        <w:t>，</w:t>
      </w:r>
      <w:r>
        <w:rPr>
          <w:rFonts w:hint="eastAsia" w:ascii="宋体" w:hAnsi="宋体" w:eastAsia="宋体" w:cs="宋体"/>
          <w:bCs/>
          <w:szCs w:val="21"/>
          <w:lang w:eastAsia="zh-CN"/>
        </w:rPr>
        <w:t>遵循“安全第一、预防为主”的原则</w:t>
      </w:r>
      <w:r>
        <w:rPr>
          <w:rFonts w:hint="eastAsia" w:ascii="宋体" w:hAnsi="宋体" w:eastAsia="宋体" w:cs="宋体"/>
          <w:bCs/>
          <w:szCs w:val="21"/>
        </w:rPr>
        <w:t>。</w:t>
      </w:r>
    </w:p>
    <w:p>
      <w:pPr>
        <w:pStyle w:val="108"/>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bCs/>
          <w:szCs w:val="21"/>
        </w:rPr>
      </w:pPr>
      <w:r>
        <w:rPr>
          <w:rFonts w:hint="eastAsia" w:ascii="宋体" w:hAnsi="宋体" w:eastAsia="宋体" w:cs="宋体"/>
          <w:bCs/>
          <w:szCs w:val="21"/>
        </w:rPr>
        <w:t>作战人员做好安全防护，避免吸入或直接接触</w:t>
      </w:r>
      <w:r>
        <w:rPr>
          <w:rFonts w:hint="eastAsia" w:ascii="宋体" w:hAnsi="宋体" w:eastAsia="宋体" w:cs="宋体"/>
          <w:bCs/>
          <w:szCs w:val="21"/>
          <w:lang w:eastAsia="zh-CN"/>
        </w:rPr>
        <w:t>危险化学品</w:t>
      </w:r>
      <w:r>
        <w:rPr>
          <w:rFonts w:hint="eastAsia" w:ascii="宋体" w:hAnsi="宋体" w:eastAsia="宋体" w:cs="宋体"/>
          <w:bCs/>
          <w:szCs w:val="21"/>
        </w:rPr>
        <w:t>，防止发生中毒窒息、腐蚀冻伤、爆炸烧伤等事故。</w:t>
      </w:r>
    </w:p>
    <w:p>
      <w:pPr>
        <w:pStyle w:val="108"/>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bCs/>
          <w:szCs w:val="21"/>
        </w:rPr>
      </w:pPr>
      <w:r>
        <w:rPr>
          <w:rFonts w:hint="eastAsia" w:ascii="宋体" w:hAnsi="宋体" w:eastAsia="宋体" w:cs="宋体"/>
          <w:bCs/>
          <w:szCs w:val="21"/>
        </w:rPr>
        <w:t>设置安全员，对事故现场实施全程监测和仪器检测。</w:t>
      </w:r>
    </w:p>
    <w:p>
      <w:pPr>
        <w:pStyle w:val="108"/>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bCs/>
          <w:szCs w:val="21"/>
        </w:rPr>
      </w:pPr>
      <w:r>
        <w:rPr>
          <w:rFonts w:hint="eastAsia" w:ascii="宋体" w:hAnsi="宋体" w:eastAsia="宋体" w:cs="宋体"/>
          <w:bCs/>
          <w:szCs w:val="21"/>
        </w:rPr>
        <w:t>在现场情况不明情况下，严禁擅自行动，冒险蛮干。</w:t>
      </w:r>
    </w:p>
    <w:p>
      <w:pPr>
        <w:pStyle w:val="108"/>
        <w:keepNext w:val="0"/>
        <w:keepLines w:val="0"/>
        <w:pageBreakBefore w:val="0"/>
        <w:widowControl/>
        <w:kinsoku/>
        <w:wordWrap/>
        <w:overflowPunct/>
        <w:topLinePunct w:val="0"/>
        <w:autoSpaceDE/>
        <w:autoSpaceDN/>
        <w:bidi w:val="0"/>
        <w:adjustRightInd/>
        <w:snapToGrid/>
        <w:spacing w:beforeLines="0" w:afterLines="0"/>
        <w:textAlignment w:val="auto"/>
        <w:rPr>
          <w:rFonts w:hint="eastAsia" w:ascii="宋体" w:hAnsi="宋体" w:eastAsia="宋体" w:cs="宋体"/>
          <w:bCs/>
          <w:szCs w:val="21"/>
        </w:rPr>
      </w:pPr>
      <w:r>
        <w:rPr>
          <w:rFonts w:hint="eastAsia" w:ascii="宋体" w:hAnsi="宋体" w:eastAsia="宋体" w:cs="宋体"/>
          <w:bCs/>
          <w:szCs w:val="21"/>
        </w:rPr>
        <w:t>提前明确撤离信号和撤离路线，遇有险情，迅速撤离至安全区域。</w:t>
      </w:r>
    </w:p>
    <w:p>
      <w:pPr>
        <w:pStyle w:val="201"/>
        <w:rPr>
          <w:vanish w:val="0"/>
        </w:rPr>
      </w:pPr>
      <w:r>
        <w:rPr>
          <w:rFonts w:hint="eastAsia" w:hAnsi="黑体" w:cs="黑体"/>
          <w:bCs/>
          <w:szCs w:val="21"/>
        </w:rPr>
        <w:t>加强环境检测，防止发生环境污染等次生灾害。</w:t>
      </w:r>
      <w:bookmarkEnd w:id="20"/>
      <w:bookmarkEnd w:id="85"/>
      <w:bookmarkEnd w:id="86"/>
      <w:bookmarkEnd w:id="87"/>
      <w:bookmarkEnd w:id="101"/>
      <w:bookmarkEnd w:id="102"/>
      <w:bookmarkStart w:id="113" w:name="BookMark5"/>
    </w:p>
    <w:p>
      <w:pPr>
        <w:rPr>
          <w:vanish w:val="0"/>
        </w:rPr>
      </w:pPr>
      <w:r>
        <w:rPr>
          <w:rFonts w:hint="eastAsia" w:hAnsi="黑体" w:cs="黑体"/>
          <w:bCs/>
          <w:szCs w:val="21"/>
        </w:rPr>
        <w:br w:type="page"/>
      </w:r>
    </w:p>
    <w:p>
      <w:pPr>
        <w:pStyle w:val="202"/>
        <w:rPr>
          <w:vanish w:val="0"/>
        </w:rPr>
      </w:pPr>
    </w:p>
    <w:bookmarkEnd w:id="113"/>
    <w:p>
      <w:pPr>
        <w:pStyle w:val="24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0" w:firstLineChars="0"/>
        <w:jc w:val="center"/>
        <w:textAlignment w:val="auto"/>
        <w:rPr>
          <w:rFonts w:hint="eastAsia" w:hAnsi="黑体" w:cs="黑体"/>
          <w:szCs w:val="21"/>
        </w:rPr>
      </w:pPr>
      <w:r>
        <w:rPr>
          <w:rFonts w:hint="eastAsia"/>
          <w:szCs w:val="22"/>
          <w:lang w:eastAsia="zh-CN"/>
        </w:rPr>
        <w:t>附录</w:t>
      </w:r>
      <w:r>
        <w:rPr>
          <w:rFonts w:hint="eastAsia"/>
          <w:szCs w:val="22"/>
          <w:lang w:val="en-US" w:eastAsia="zh-CN"/>
        </w:rPr>
        <w:t xml:space="preserve"> </w:t>
      </w:r>
      <w:r>
        <w:rPr>
          <w:rFonts w:hint="eastAsia"/>
          <w:szCs w:val="22"/>
        </w:rPr>
        <w:t>常见忌水性危险化学品及分类</w:t>
      </w:r>
    </w:p>
    <w:p>
      <w:pPr>
        <w:pStyle w:val="24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jc w:val="center"/>
        <w:textAlignment w:val="auto"/>
        <w:rPr>
          <w:rFonts w:eastAsia="宋体"/>
        </w:rPr>
      </w:pPr>
      <w:r>
        <w:rPr>
          <w:rFonts w:hint="eastAsia" w:hAnsi="黑体" w:cs="黑体"/>
          <w:szCs w:val="21"/>
        </w:rPr>
        <w:t xml:space="preserve">表 </w:t>
      </w:r>
      <w:r>
        <w:rPr>
          <w:rFonts w:hint="eastAsia" w:ascii="宋体" w:hAnsi="宋体" w:cs="宋体"/>
          <w:szCs w:val="21"/>
        </w:rPr>
        <w:t>常见</w:t>
      </w:r>
      <w:r>
        <w:rPr>
          <w:rFonts w:hint="eastAsia" w:ascii="宋体" w:hAnsi="宋体" w:eastAsia="宋体" w:cs="宋体"/>
          <w:szCs w:val="21"/>
        </w:rPr>
        <w:t>忌水性危</w:t>
      </w:r>
      <w:r>
        <w:rPr>
          <w:rFonts w:hint="eastAsia" w:ascii="宋体" w:hAnsi="宋体" w:cs="宋体"/>
          <w:szCs w:val="21"/>
        </w:rPr>
        <w:t>险化学</w:t>
      </w:r>
      <w:r>
        <w:rPr>
          <w:rFonts w:hint="eastAsia" w:ascii="宋体" w:hAnsi="宋体" w:eastAsia="宋体" w:cs="宋体"/>
          <w:szCs w:val="21"/>
        </w:rPr>
        <w:t>品及</w:t>
      </w:r>
      <w:r>
        <w:rPr>
          <w:rFonts w:hint="eastAsia" w:hAnsi="黑体" w:cs="黑体"/>
          <w:szCs w:val="21"/>
        </w:rPr>
        <w:t>分类</w:t>
      </w:r>
    </w:p>
    <w:tbl>
      <w:tblPr>
        <w:tblStyle w:val="29"/>
        <w:tblW w:w="9195" w:type="dxa"/>
        <w:tblInd w:w="0" w:type="dxa"/>
        <w:tblLayout w:type="autofit"/>
        <w:tblCellMar>
          <w:top w:w="0" w:type="dxa"/>
          <w:left w:w="0" w:type="dxa"/>
          <w:bottom w:w="0" w:type="dxa"/>
          <w:right w:w="0" w:type="dxa"/>
        </w:tblCellMar>
      </w:tblPr>
      <w:tblGrid>
        <w:gridCol w:w="705"/>
        <w:gridCol w:w="2325"/>
        <w:gridCol w:w="2715"/>
        <w:gridCol w:w="3450"/>
      </w:tblGrid>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分类</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危险性特征</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化学品类别</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常见化学品</w:t>
            </w:r>
          </w:p>
        </w:tc>
      </w:tr>
      <w:tr>
        <w:tblPrEx>
          <w:tblCellMar>
            <w:top w:w="0" w:type="dxa"/>
            <w:left w:w="0" w:type="dxa"/>
            <w:bottom w:w="0" w:type="dxa"/>
            <w:right w:w="0" w:type="dxa"/>
          </w:tblCellMar>
        </w:tblPrEx>
        <w:trPr>
          <w:trHeight w:val="72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2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遇水反应生成高度易燃的可燃气体，同时大量放热引起燃烧，但不产生大量有毒有害气体</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碱金属</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锂、钠、钾等；金属粉末镁、锆、铝、锌等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金属有机化合物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三甲基铝、二甲基镉、二乙基锌等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氢化物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氢化锂、氢化钠等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盐型碳化物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碳化钙、碳化铝等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金属硅化物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硅化钙、硅化镁等</w:t>
            </w:r>
          </w:p>
        </w:tc>
      </w:tr>
      <w:tr>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硼烷及硼氢化物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乙硼烷、戊硼烷、硼氢化锂、硼氢化钠等</w:t>
            </w:r>
          </w:p>
        </w:tc>
      </w:tr>
      <w:tr>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遇水放热或助燃的物质</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氢氧化钠、氢氧化钾、过氧化钾、过氧化钠等</w:t>
            </w:r>
          </w:p>
        </w:tc>
      </w:tr>
      <w:tr>
        <w:tblPrEx>
          <w:tblCellMar>
            <w:top w:w="0" w:type="dxa"/>
            <w:left w:w="0" w:type="dxa"/>
            <w:bottom w:w="0" w:type="dxa"/>
            <w:right w:w="0" w:type="dxa"/>
          </w:tblCellMar>
        </w:tblPrEx>
        <w:trPr>
          <w:trHeight w:val="72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二</w:t>
            </w:r>
          </w:p>
        </w:tc>
        <w:tc>
          <w:tcPr>
            <w:tcW w:w="2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遇水反应生成高度易燃的腐蚀性或有毒气体，同时大量放热引起燃烧，并产生大量有毒有害气体</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盐型磷化物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磷化钾、磷化钠、磷化镁、磷化锶、磷化铝等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碱（土）金属汞齐</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钾汞齐、钠汞齐等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硫化磷</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五硫化二磷、三硫化二磷等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硫醇</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甲硫醇、乙硫醇等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含氯硅烷</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一氯硅烷、二氯硅烷等</w:t>
            </w:r>
          </w:p>
        </w:tc>
      </w:tr>
      <w:tr>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氨（氮）碱（土）金属化合物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氨基化锂、氮化锂、二氨基镁等</w:t>
            </w:r>
          </w:p>
        </w:tc>
      </w:tr>
      <w:tr>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三氟化硼有机络合物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三氟化硼甲醚络合物、三氟化硼乙醚络合物等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有机金属化合物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二苯基镁、甲醇钠、甲基氯化镁等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氰基化合物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氯化氰、氰化溴、氰基乙酸乙酯等</w:t>
            </w:r>
          </w:p>
        </w:tc>
      </w:tr>
      <w:tr>
        <w:tblPrEx>
          <w:tblCellMar>
            <w:top w:w="0" w:type="dxa"/>
            <w:left w:w="0" w:type="dxa"/>
            <w:bottom w:w="0" w:type="dxa"/>
            <w:right w:w="0" w:type="dxa"/>
          </w:tblCellMar>
        </w:tblPrEx>
        <w:trPr>
          <w:trHeight w:val="36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w:t>
            </w:r>
          </w:p>
        </w:tc>
        <w:tc>
          <w:tcPr>
            <w:tcW w:w="2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遇水反应生成腐蚀性或有毒气体，不引起燃烧，但能产生大量有毒有害气体或烟雾</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连二亚硫酸盐</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连二亚硫酸钠</w:t>
            </w:r>
          </w:p>
        </w:tc>
      </w:tr>
      <w:tr>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酰基、磺酰基、磷酰基卤化物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乙酰氯、甲基磺酰氯、磷酰氯等</w:t>
            </w:r>
          </w:p>
        </w:tc>
      </w:tr>
      <w:tr>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卤化物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四氯化钛、三氯化铝、三氯化磷、三溴化硼、三氟化溴等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苄基卤化物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溴化苄、氯化苄等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含二氯、三氯硅烷</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苯基三氯硅烷、二苯基二氯硅烷等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氯甲酸、氯乙酸酯</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二氯乙酸甲酯、氯甲酸苯酯等</w:t>
            </w:r>
          </w:p>
        </w:tc>
      </w:tr>
      <w:tr>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其他活性基团的卤代物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2-氯乙醇、二苯基氯化磷、二氯亚磷酸甲酯等</w:t>
            </w:r>
          </w:p>
        </w:tc>
      </w:tr>
      <w:tr>
        <w:tblPrEx>
          <w:tblCellMar>
            <w:top w:w="0" w:type="dxa"/>
            <w:left w:w="0" w:type="dxa"/>
            <w:bottom w:w="0" w:type="dxa"/>
            <w:right w:w="0" w:type="dxa"/>
          </w:tblCellMar>
        </w:tblPrEx>
        <w:trPr>
          <w:trHeight w:val="108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酸性腐蚀品</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发烟硫酸、氟磺酸、硫酸二乙酯、氯磺酸、浓硫酸、浓硝酸、高氯酸、三氧化硫等</w:t>
            </w:r>
          </w:p>
        </w:tc>
      </w:tr>
      <w:tr>
        <w:tblPrEx>
          <w:tblCellMar>
            <w:top w:w="0" w:type="dxa"/>
            <w:left w:w="0" w:type="dxa"/>
            <w:bottom w:w="0" w:type="dxa"/>
            <w:right w:w="0" w:type="dxa"/>
          </w:tblCellMar>
        </w:tblPrEx>
        <w:trPr>
          <w:trHeight w:val="36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w:t>
            </w:r>
          </w:p>
        </w:tc>
        <w:tc>
          <w:tcPr>
            <w:tcW w:w="2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不溶于水或微溶于水且比水轻的烃基化合物等易燃液体</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油类</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煤油、汽油、柴油等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醇类</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甲醇、乙醇等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酯类</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乙酸乙酯、乙酸戊酯等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酮类</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丙酮、丁酮等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醚类</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乙醚、石油醚等</w:t>
            </w:r>
          </w:p>
        </w:tc>
      </w:tr>
      <w:tr>
        <w:tblPrEx>
          <w:tblCellMar>
            <w:top w:w="0" w:type="dxa"/>
            <w:left w:w="0" w:type="dxa"/>
            <w:bottom w:w="0" w:type="dxa"/>
            <w:right w:w="0" w:type="dxa"/>
          </w:tblCellMar>
        </w:tblPrEx>
        <w:trPr>
          <w:trHeight w:val="36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苯及其同系物</w:t>
            </w:r>
          </w:p>
        </w:tc>
        <w:tc>
          <w:tcPr>
            <w:tcW w:w="3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甲苯、二甲苯等</w:t>
            </w:r>
          </w:p>
        </w:tc>
      </w:tr>
    </w:tbl>
    <w:p>
      <w:pPr>
        <w:pStyle w:val="59"/>
        <w:ind w:firstLine="643"/>
        <w:rPr>
          <w:b/>
          <w:bCs/>
          <w:sz w:val="32"/>
          <w:szCs w:val="32"/>
        </w:rPr>
      </w:pPr>
    </w:p>
    <w:sectPr>
      <w:footerReference r:id="rId13" w:type="default"/>
      <w:pgSz w:w="11906" w:h="16838"/>
      <w:pgMar w:top="1134"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ind w:firstLine="8640" w:firstLineChars="4800"/>
      <w:jc w:val="both"/>
      <w:rPr>
        <w:rFonts w:hint="default" w:ascii="黑体" w:hAnsi="黑体" w:eastAsia="黑体"/>
        <w:lang w:val="en-US" w:eastAsia="zh-CN"/>
      </w:rPr>
    </w:pPr>
    <w:r>
      <w:rPr>
        <w:rFonts w:hint="eastAsia" w:ascii="黑体" w:hAnsi="黑体" w:eastAsia="黑体"/>
        <w:lang w:val="en-US" w:eastAsia="zh-CN"/>
      </w:rPr>
      <w:t>DB23/T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wordWrap w:val="0"/>
    </w:pPr>
    <w:r>
      <w:rPr>
        <w:rFonts w:hint="eastAsia"/>
      </w:rPr>
      <w:t xml:space="preserve">DB23/T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AC3C2"/>
    <w:multiLevelType w:val="multilevel"/>
    <w:tmpl w:val="895AC3C2"/>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20"/>
    <w:multiLevelType w:val="multilevel"/>
    <w:tmpl w:val="00000020"/>
    <w:lvl w:ilvl="0" w:tentative="0">
      <w:start w:val="1"/>
      <w:numFmt w:val="decimal"/>
      <w:pStyle w:val="2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702" w:firstLine="0"/>
      </w:pPr>
      <w:rPr>
        <w:rFonts w:hint="eastAsia" w:ascii="黑体" w:hAnsi="Times New Roman" w:eastAsia="黑体"/>
        <w:b w:val="0"/>
        <w:i w:val="0"/>
        <w:sz w:val="21"/>
      </w:rPr>
    </w:lvl>
    <w:lvl w:ilvl="3" w:tentative="0">
      <w:start w:val="1"/>
      <w:numFmt w:val="decimal"/>
      <w:suff w:val="nothing"/>
      <w:lvlText w:val="%1.%2.%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8"/>
  </w:num>
  <w:num w:numId="3">
    <w:abstractNumId w:val="7"/>
  </w:num>
  <w:num w:numId="4">
    <w:abstractNumId w:val="0"/>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6"/>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0"/>
  </w:num>
  <w:num w:numId="19">
    <w:abstractNumId w:val="17"/>
  </w:num>
  <w:num w:numId="20">
    <w:abstractNumId w:val="3"/>
  </w:num>
  <w:num w:numId="21">
    <w:abstractNumId w:val="12"/>
  </w:num>
  <w:num w:numId="22">
    <w:abstractNumId w:val="31"/>
  </w:num>
  <w:num w:numId="23">
    <w:abstractNumId w:val="22"/>
  </w:num>
  <w:num w:numId="24">
    <w:abstractNumId w:val="8"/>
  </w:num>
  <w:num w:numId="25">
    <w:abstractNumId w:val="27"/>
  </w:num>
  <w:num w:numId="26">
    <w:abstractNumId w:val="29"/>
  </w:num>
  <w:num w:numId="27">
    <w:abstractNumId w:val="4"/>
  </w:num>
  <w:num w:numId="28">
    <w:abstractNumId w:val="6"/>
  </w:num>
  <w:num w:numId="29">
    <w:abstractNumId w:val="16"/>
  </w:num>
  <w:num w:numId="30">
    <w:abstractNumId w:val="25"/>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E0"/>
    <w:rsid w:val="0000040A"/>
    <w:rsid w:val="00000A94"/>
    <w:rsid w:val="00001972"/>
    <w:rsid w:val="00001D9A"/>
    <w:rsid w:val="00003F9C"/>
    <w:rsid w:val="000053AD"/>
    <w:rsid w:val="00007B3A"/>
    <w:rsid w:val="000107E0"/>
    <w:rsid w:val="00010F9D"/>
    <w:rsid w:val="00011FDE"/>
    <w:rsid w:val="00012FFD"/>
    <w:rsid w:val="00014162"/>
    <w:rsid w:val="00014340"/>
    <w:rsid w:val="00016A9C"/>
    <w:rsid w:val="00017ADC"/>
    <w:rsid w:val="00022184"/>
    <w:rsid w:val="00022762"/>
    <w:rsid w:val="000238E0"/>
    <w:rsid w:val="000249DB"/>
    <w:rsid w:val="0002595E"/>
    <w:rsid w:val="0002732E"/>
    <w:rsid w:val="000303C3"/>
    <w:rsid w:val="000331D3"/>
    <w:rsid w:val="000346A5"/>
    <w:rsid w:val="00034941"/>
    <w:rsid w:val="000351BE"/>
    <w:rsid w:val="000359C3"/>
    <w:rsid w:val="00035A7D"/>
    <w:rsid w:val="000365ED"/>
    <w:rsid w:val="00037AD4"/>
    <w:rsid w:val="00041CD6"/>
    <w:rsid w:val="0004249A"/>
    <w:rsid w:val="00043282"/>
    <w:rsid w:val="00044286"/>
    <w:rsid w:val="000478B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68C"/>
    <w:rsid w:val="00064136"/>
    <w:rsid w:val="00064CB9"/>
    <w:rsid w:val="0006551F"/>
    <w:rsid w:val="00067F1E"/>
    <w:rsid w:val="00071CC0"/>
    <w:rsid w:val="0007299E"/>
    <w:rsid w:val="00073C8C"/>
    <w:rsid w:val="000762E9"/>
    <w:rsid w:val="00077B64"/>
    <w:rsid w:val="00080A1C"/>
    <w:rsid w:val="00082317"/>
    <w:rsid w:val="00083D2C"/>
    <w:rsid w:val="00086AA1"/>
    <w:rsid w:val="00087A77"/>
    <w:rsid w:val="00090CA6"/>
    <w:rsid w:val="00091B97"/>
    <w:rsid w:val="00092B8A"/>
    <w:rsid w:val="00092FB0"/>
    <w:rsid w:val="000934C5"/>
    <w:rsid w:val="00093D25"/>
    <w:rsid w:val="00093DAB"/>
    <w:rsid w:val="00094D73"/>
    <w:rsid w:val="00096D63"/>
    <w:rsid w:val="000A0258"/>
    <w:rsid w:val="000A0B60"/>
    <w:rsid w:val="000A0EB8"/>
    <w:rsid w:val="000A19FC"/>
    <w:rsid w:val="000A296B"/>
    <w:rsid w:val="000A7311"/>
    <w:rsid w:val="000A7CD3"/>
    <w:rsid w:val="000B060F"/>
    <w:rsid w:val="000B12D3"/>
    <w:rsid w:val="000B1592"/>
    <w:rsid w:val="000B1FF2"/>
    <w:rsid w:val="000B3CDA"/>
    <w:rsid w:val="000B3CDF"/>
    <w:rsid w:val="000B6A0B"/>
    <w:rsid w:val="000C03A5"/>
    <w:rsid w:val="000C0F6C"/>
    <w:rsid w:val="000C11DB"/>
    <w:rsid w:val="000C1492"/>
    <w:rsid w:val="000C2FBD"/>
    <w:rsid w:val="000C4B41"/>
    <w:rsid w:val="000C55E1"/>
    <w:rsid w:val="000C57D6"/>
    <w:rsid w:val="000C6362"/>
    <w:rsid w:val="000C7666"/>
    <w:rsid w:val="000D0A9C"/>
    <w:rsid w:val="000D1795"/>
    <w:rsid w:val="000D329A"/>
    <w:rsid w:val="000D4B9C"/>
    <w:rsid w:val="000D4EB6"/>
    <w:rsid w:val="000D753B"/>
    <w:rsid w:val="000E286C"/>
    <w:rsid w:val="000E4C9E"/>
    <w:rsid w:val="000E6FD7"/>
    <w:rsid w:val="000F06E1"/>
    <w:rsid w:val="000F0E3C"/>
    <w:rsid w:val="000F19D5"/>
    <w:rsid w:val="000F29A3"/>
    <w:rsid w:val="000F4AEA"/>
    <w:rsid w:val="000F633F"/>
    <w:rsid w:val="000F67E9"/>
    <w:rsid w:val="00101840"/>
    <w:rsid w:val="00104926"/>
    <w:rsid w:val="00112995"/>
    <w:rsid w:val="00113B1E"/>
    <w:rsid w:val="0011711C"/>
    <w:rsid w:val="00117CC4"/>
    <w:rsid w:val="0012059C"/>
    <w:rsid w:val="00120916"/>
    <w:rsid w:val="0012456A"/>
    <w:rsid w:val="00124E4F"/>
    <w:rsid w:val="001260B7"/>
    <w:rsid w:val="001265CB"/>
    <w:rsid w:val="001306CD"/>
    <w:rsid w:val="001321C6"/>
    <w:rsid w:val="001325C4"/>
    <w:rsid w:val="00133010"/>
    <w:rsid w:val="001338EE"/>
    <w:rsid w:val="00133AAE"/>
    <w:rsid w:val="00135323"/>
    <w:rsid w:val="001356C4"/>
    <w:rsid w:val="0013594E"/>
    <w:rsid w:val="00140362"/>
    <w:rsid w:val="00141114"/>
    <w:rsid w:val="001425AB"/>
    <w:rsid w:val="00142969"/>
    <w:rsid w:val="00143BE0"/>
    <w:rsid w:val="00143F86"/>
    <w:rsid w:val="001446C2"/>
    <w:rsid w:val="001457E7"/>
    <w:rsid w:val="00145D9D"/>
    <w:rsid w:val="00146388"/>
    <w:rsid w:val="00151F47"/>
    <w:rsid w:val="001529E5"/>
    <w:rsid w:val="00153C7E"/>
    <w:rsid w:val="00154E51"/>
    <w:rsid w:val="00156B25"/>
    <w:rsid w:val="00156E1A"/>
    <w:rsid w:val="00157894"/>
    <w:rsid w:val="00157B55"/>
    <w:rsid w:val="00160CAB"/>
    <w:rsid w:val="001642FA"/>
    <w:rsid w:val="001649EB"/>
    <w:rsid w:val="00164BAF"/>
    <w:rsid w:val="00164FA8"/>
    <w:rsid w:val="00165065"/>
    <w:rsid w:val="00165434"/>
    <w:rsid w:val="0016580B"/>
    <w:rsid w:val="00165CE5"/>
    <w:rsid w:val="00165F49"/>
    <w:rsid w:val="00166B88"/>
    <w:rsid w:val="00166C74"/>
    <w:rsid w:val="0016770A"/>
    <w:rsid w:val="00170804"/>
    <w:rsid w:val="001708E9"/>
    <w:rsid w:val="00170DCE"/>
    <w:rsid w:val="00173191"/>
    <w:rsid w:val="0017340B"/>
    <w:rsid w:val="00173FB1"/>
    <w:rsid w:val="00173FCB"/>
    <w:rsid w:val="00174B88"/>
    <w:rsid w:val="00176DFD"/>
    <w:rsid w:val="00177FE6"/>
    <w:rsid w:val="00184E03"/>
    <w:rsid w:val="001852C9"/>
    <w:rsid w:val="00190087"/>
    <w:rsid w:val="00190853"/>
    <w:rsid w:val="001913C4"/>
    <w:rsid w:val="0019348F"/>
    <w:rsid w:val="00193A07"/>
    <w:rsid w:val="00194C95"/>
    <w:rsid w:val="00195C34"/>
    <w:rsid w:val="00196EF5"/>
    <w:rsid w:val="001A1A53"/>
    <w:rsid w:val="001A234A"/>
    <w:rsid w:val="001A4CF3"/>
    <w:rsid w:val="001A7018"/>
    <w:rsid w:val="001A7FBD"/>
    <w:rsid w:val="001B06E8"/>
    <w:rsid w:val="001B0C14"/>
    <w:rsid w:val="001B71D0"/>
    <w:rsid w:val="001B71EE"/>
    <w:rsid w:val="001B77F0"/>
    <w:rsid w:val="001B7A69"/>
    <w:rsid w:val="001C04A8"/>
    <w:rsid w:val="001C13B8"/>
    <w:rsid w:val="001C19B1"/>
    <w:rsid w:val="001C2C03"/>
    <w:rsid w:val="001C42F7"/>
    <w:rsid w:val="001C49E5"/>
    <w:rsid w:val="001C680C"/>
    <w:rsid w:val="001C7FEA"/>
    <w:rsid w:val="001D0499"/>
    <w:rsid w:val="001D0BBE"/>
    <w:rsid w:val="001D0ED4"/>
    <w:rsid w:val="001D212F"/>
    <w:rsid w:val="001D29D7"/>
    <w:rsid w:val="001D2DE7"/>
    <w:rsid w:val="001D411C"/>
    <w:rsid w:val="001D6EF0"/>
    <w:rsid w:val="001E1B6A"/>
    <w:rsid w:val="001E2484"/>
    <w:rsid w:val="001E38E5"/>
    <w:rsid w:val="001E3CC4"/>
    <w:rsid w:val="001E4882"/>
    <w:rsid w:val="001E73AB"/>
    <w:rsid w:val="001E77A5"/>
    <w:rsid w:val="001F092D"/>
    <w:rsid w:val="001F143A"/>
    <w:rsid w:val="001F1605"/>
    <w:rsid w:val="001F2508"/>
    <w:rsid w:val="001F4816"/>
    <w:rsid w:val="001F4EE9"/>
    <w:rsid w:val="001F65A3"/>
    <w:rsid w:val="001F69B4"/>
    <w:rsid w:val="001F77C7"/>
    <w:rsid w:val="00200183"/>
    <w:rsid w:val="00200333"/>
    <w:rsid w:val="0020107D"/>
    <w:rsid w:val="00202AA4"/>
    <w:rsid w:val="002031F7"/>
    <w:rsid w:val="002040E6"/>
    <w:rsid w:val="0020527B"/>
    <w:rsid w:val="00205F2C"/>
    <w:rsid w:val="00210B15"/>
    <w:rsid w:val="0021112A"/>
    <w:rsid w:val="00212D1B"/>
    <w:rsid w:val="002142EA"/>
    <w:rsid w:val="002204BB"/>
    <w:rsid w:val="00221B79"/>
    <w:rsid w:val="00221C6B"/>
    <w:rsid w:val="0022488E"/>
    <w:rsid w:val="002253A1"/>
    <w:rsid w:val="00225CF8"/>
    <w:rsid w:val="0022794E"/>
    <w:rsid w:val="00230C76"/>
    <w:rsid w:val="00233D64"/>
    <w:rsid w:val="0023482A"/>
    <w:rsid w:val="002359CB"/>
    <w:rsid w:val="00243540"/>
    <w:rsid w:val="0024497B"/>
    <w:rsid w:val="0024515B"/>
    <w:rsid w:val="00246021"/>
    <w:rsid w:val="0024666E"/>
    <w:rsid w:val="00247F52"/>
    <w:rsid w:val="00250B25"/>
    <w:rsid w:val="00250BBE"/>
    <w:rsid w:val="002515C2"/>
    <w:rsid w:val="0025194F"/>
    <w:rsid w:val="00252E70"/>
    <w:rsid w:val="0026148A"/>
    <w:rsid w:val="00262696"/>
    <w:rsid w:val="00263BF4"/>
    <w:rsid w:val="00263D25"/>
    <w:rsid w:val="002643C3"/>
    <w:rsid w:val="00264A0C"/>
    <w:rsid w:val="00266600"/>
    <w:rsid w:val="00266EEB"/>
    <w:rsid w:val="00267EF4"/>
    <w:rsid w:val="00270CB8"/>
    <w:rsid w:val="00271B71"/>
    <w:rsid w:val="00272B08"/>
    <w:rsid w:val="00281512"/>
    <w:rsid w:val="00281BB8"/>
    <w:rsid w:val="00281E9E"/>
    <w:rsid w:val="00282405"/>
    <w:rsid w:val="00285170"/>
    <w:rsid w:val="00285361"/>
    <w:rsid w:val="00292D60"/>
    <w:rsid w:val="00293B30"/>
    <w:rsid w:val="00294C5E"/>
    <w:rsid w:val="00294D34"/>
    <w:rsid w:val="00294E3B"/>
    <w:rsid w:val="00296193"/>
    <w:rsid w:val="00296C66"/>
    <w:rsid w:val="00296EBE"/>
    <w:rsid w:val="002974E3"/>
    <w:rsid w:val="002A0257"/>
    <w:rsid w:val="002A084B"/>
    <w:rsid w:val="002A1260"/>
    <w:rsid w:val="002A1589"/>
    <w:rsid w:val="002A1608"/>
    <w:rsid w:val="002A1D5F"/>
    <w:rsid w:val="002A25DC"/>
    <w:rsid w:val="002A3AAB"/>
    <w:rsid w:val="002A4CEA"/>
    <w:rsid w:val="002A5977"/>
    <w:rsid w:val="002A5A13"/>
    <w:rsid w:val="002A757F"/>
    <w:rsid w:val="002A7F44"/>
    <w:rsid w:val="002B0219"/>
    <w:rsid w:val="002B0C40"/>
    <w:rsid w:val="002B1966"/>
    <w:rsid w:val="002B1E05"/>
    <w:rsid w:val="002B4508"/>
    <w:rsid w:val="002B5779"/>
    <w:rsid w:val="002B7332"/>
    <w:rsid w:val="002B7F51"/>
    <w:rsid w:val="002C09E7"/>
    <w:rsid w:val="002C104D"/>
    <w:rsid w:val="002C1E06"/>
    <w:rsid w:val="002C1E1C"/>
    <w:rsid w:val="002C3F07"/>
    <w:rsid w:val="002C5278"/>
    <w:rsid w:val="002C5897"/>
    <w:rsid w:val="002C7EBB"/>
    <w:rsid w:val="002D05E5"/>
    <w:rsid w:val="002D06C1"/>
    <w:rsid w:val="002D08F7"/>
    <w:rsid w:val="002D0C22"/>
    <w:rsid w:val="002D42B5"/>
    <w:rsid w:val="002D4F1A"/>
    <w:rsid w:val="002D5A2C"/>
    <w:rsid w:val="002D6EC6"/>
    <w:rsid w:val="002D79AC"/>
    <w:rsid w:val="002E039D"/>
    <w:rsid w:val="002E4D5A"/>
    <w:rsid w:val="002E54F6"/>
    <w:rsid w:val="002E5DEF"/>
    <w:rsid w:val="002E6326"/>
    <w:rsid w:val="002E66B6"/>
    <w:rsid w:val="002E6F4A"/>
    <w:rsid w:val="002E79EC"/>
    <w:rsid w:val="002F1D40"/>
    <w:rsid w:val="002F30E0"/>
    <w:rsid w:val="002F35E4"/>
    <w:rsid w:val="002F3730"/>
    <w:rsid w:val="002F38E1"/>
    <w:rsid w:val="002F634E"/>
    <w:rsid w:val="002F7AF6"/>
    <w:rsid w:val="00300E63"/>
    <w:rsid w:val="00302F5F"/>
    <w:rsid w:val="003032D9"/>
    <w:rsid w:val="0030441D"/>
    <w:rsid w:val="00306063"/>
    <w:rsid w:val="00306F86"/>
    <w:rsid w:val="00307038"/>
    <w:rsid w:val="003109F7"/>
    <w:rsid w:val="00313B85"/>
    <w:rsid w:val="0031613A"/>
    <w:rsid w:val="00317988"/>
    <w:rsid w:val="00317CD8"/>
    <w:rsid w:val="003221B4"/>
    <w:rsid w:val="0032258D"/>
    <w:rsid w:val="00322960"/>
    <w:rsid w:val="00322E62"/>
    <w:rsid w:val="00324D13"/>
    <w:rsid w:val="00324D2A"/>
    <w:rsid w:val="00324EDD"/>
    <w:rsid w:val="003331E4"/>
    <w:rsid w:val="003341BF"/>
    <w:rsid w:val="00334F4F"/>
    <w:rsid w:val="00336C64"/>
    <w:rsid w:val="00337162"/>
    <w:rsid w:val="0034194F"/>
    <w:rsid w:val="00344605"/>
    <w:rsid w:val="003474AA"/>
    <w:rsid w:val="00350D1D"/>
    <w:rsid w:val="003527AF"/>
    <w:rsid w:val="00352C83"/>
    <w:rsid w:val="00356DC3"/>
    <w:rsid w:val="003615D2"/>
    <w:rsid w:val="0036429C"/>
    <w:rsid w:val="00364A53"/>
    <w:rsid w:val="003654CB"/>
    <w:rsid w:val="00365AA9"/>
    <w:rsid w:val="00365F86"/>
    <w:rsid w:val="00365F87"/>
    <w:rsid w:val="00366E89"/>
    <w:rsid w:val="003705F4"/>
    <w:rsid w:val="00370D58"/>
    <w:rsid w:val="00371316"/>
    <w:rsid w:val="00376713"/>
    <w:rsid w:val="00380169"/>
    <w:rsid w:val="00381815"/>
    <w:rsid w:val="003819AF"/>
    <w:rsid w:val="003820E9"/>
    <w:rsid w:val="00382DE7"/>
    <w:rsid w:val="00383A1D"/>
    <w:rsid w:val="00384FFC"/>
    <w:rsid w:val="003872FC"/>
    <w:rsid w:val="00387ADC"/>
    <w:rsid w:val="00390020"/>
    <w:rsid w:val="003903D6"/>
    <w:rsid w:val="00390C1A"/>
    <w:rsid w:val="00390EE6"/>
    <w:rsid w:val="0039118F"/>
    <w:rsid w:val="00391252"/>
    <w:rsid w:val="00392AD7"/>
    <w:rsid w:val="003938D9"/>
    <w:rsid w:val="00394064"/>
    <w:rsid w:val="00394376"/>
    <w:rsid w:val="003943FF"/>
    <w:rsid w:val="00395700"/>
    <w:rsid w:val="003974EB"/>
    <w:rsid w:val="00397CC5"/>
    <w:rsid w:val="003A1582"/>
    <w:rsid w:val="003A4077"/>
    <w:rsid w:val="003A589D"/>
    <w:rsid w:val="003A7FE9"/>
    <w:rsid w:val="003B09AD"/>
    <w:rsid w:val="003B1F18"/>
    <w:rsid w:val="003B5BF0"/>
    <w:rsid w:val="003B60BF"/>
    <w:rsid w:val="003B6BE3"/>
    <w:rsid w:val="003C010C"/>
    <w:rsid w:val="003C0A6C"/>
    <w:rsid w:val="003C14F8"/>
    <w:rsid w:val="003C46D5"/>
    <w:rsid w:val="003C5602"/>
    <w:rsid w:val="003C5A43"/>
    <w:rsid w:val="003D0519"/>
    <w:rsid w:val="003D0FF6"/>
    <w:rsid w:val="003D262C"/>
    <w:rsid w:val="003D60C5"/>
    <w:rsid w:val="003D6D61"/>
    <w:rsid w:val="003E091D"/>
    <w:rsid w:val="003E1C53"/>
    <w:rsid w:val="003E2A69"/>
    <w:rsid w:val="003E2D49"/>
    <w:rsid w:val="003E2FD4"/>
    <w:rsid w:val="003E49F6"/>
    <w:rsid w:val="003E660F"/>
    <w:rsid w:val="003F0841"/>
    <w:rsid w:val="003F21E7"/>
    <w:rsid w:val="003F23D3"/>
    <w:rsid w:val="003F3F08"/>
    <w:rsid w:val="003F49F1"/>
    <w:rsid w:val="003F6272"/>
    <w:rsid w:val="00400E72"/>
    <w:rsid w:val="00401400"/>
    <w:rsid w:val="0040260D"/>
    <w:rsid w:val="00404869"/>
    <w:rsid w:val="00405884"/>
    <w:rsid w:val="00407BEA"/>
    <w:rsid w:val="00407D39"/>
    <w:rsid w:val="00410B60"/>
    <w:rsid w:val="0041477A"/>
    <w:rsid w:val="004167A3"/>
    <w:rsid w:val="00416AEB"/>
    <w:rsid w:val="00417A04"/>
    <w:rsid w:val="00422530"/>
    <w:rsid w:val="00425089"/>
    <w:rsid w:val="00431088"/>
    <w:rsid w:val="00432DAA"/>
    <w:rsid w:val="00434305"/>
    <w:rsid w:val="00435DF7"/>
    <w:rsid w:val="004367C6"/>
    <w:rsid w:val="0044083F"/>
    <w:rsid w:val="00441AE7"/>
    <w:rsid w:val="00445574"/>
    <w:rsid w:val="004467FB"/>
    <w:rsid w:val="004474F7"/>
    <w:rsid w:val="00451051"/>
    <w:rsid w:val="00452D6B"/>
    <w:rsid w:val="00454484"/>
    <w:rsid w:val="0045517B"/>
    <w:rsid w:val="00463B77"/>
    <w:rsid w:val="00463C7B"/>
    <w:rsid w:val="004644A6"/>
    <w:rsid w:val="004659BD"/>
    <w:rsid w:val="0046791F"/>
    <w:rsid w:val="00470775"/>
    <w:rsid w:val="004709F6"/>
    <w:rsid w:val="004746B1"/>
    <w:rsid w:val="0047583F"/>
    <w:rsid w:val="00475DE8"/>
    <w:rsid w:val="00475E9B"/>
    <w:rsid w:val="00481C44"/>
    <w:rsid w:val="004839F5"/>
    <w:rsid w:val="00483C78"/>
    <w:rsid w:val="00484936"/>
    <w:rsid w:val="00485C89"/>
    <w:rsid w:val="00486BE3"/>
    <w:rsid w:val="004905E4"/>
    <w:rsid w:val="00490A89"/>
    <w:rsid w:val="00490AB4"/>
    <w:rsid w:val="004929D2"/>
    <w:rsid w:val="00492F02"/>
    <w:rsid w:val="00493264"/>
    <w:rsid w:val="004939AE"/>
    <w:rsid w:val="004A0E02"/>
    <w:rsid w:val="004A12DF"/>
    <w:rsid w:val="004A17E6"/>
    <w:rsid w:val="004A1BA8"/>
    <w:rsid w:val="004A4B57"/>
    <w:rsid w:val="004A63FA"/>
    <w:rsid w:val="004A67D9"/>
    <w:rsid w:val="004A6D76"/>
    <w:rsid w:val="004B0272"/>
    <w:rsid w:val="004B2701"/>
    <w:rsid w:val="004B2E1B"/>
    <w:rsid w:val="004B3AA8"/>
    <w:rsid w:val="004B3E93"/>
    <w:rsid w:val="004B5A0B"/>
    <w:rsid w:val="004B7152"/>
    <w:rsid w:val="004C0C25"/>
    <w:rsid w:val="004C1FBC"/>
    <w:rsid w:val="004C3F1D"/>
    <w:rsid w:val="004C458D"/>
    <w:rsid w:val="004C7556"/>
    <w:rsid w:val="004C7E8B"/>
    <w:rsid w:val="004C7E9D"/>
    <w:rsid w:val="004C7F67"/>
    <w:rsid w:val="004D0722"/>
    <w:rsid w:val="004D076D"/>
    <w:rsid w:val="004D0EF1"/>
    <w:rsid w:val="004D1390"/>
    <w:rsid w:val="004D2253"/>
    <w:rsid w:val="004D2DE1"/>
    <w:rsid w:val="004D4406"/>
    <w:rsid w:val="004D4A31"/>
    <w:rsid w:val="004D7C42"/>
    <w:rsid w:val="004E0465"/>
    <w:rsid w:val="004E127B"/>
    <w:rsid w:val="004E1C0A"/>
    <w:rsid w:val="004E2B06"/>
    <w:rsid w:val="004E30C5"/>
    <w:rsid w:val="004E3FDE"/>
    <w:rsid w:val="004E4AA5"/>
    <w:rsid w:val="004E4AEE"/>
    <w:rsid w:val="004E59E3"/>
    <w:rsid w:val="004E67C0"/>
    <w:rsid w:val="004F391A"/>
    <w:rsid w:val="004F3CFB"/>
    <w:rsid w:val="004F6456"/>
    <w:rsid w:val="004F696E"/>
    <w:rsid w:val="004F6C71"/>
    <w:rsid w:val="0050084C"/>
    <w:rsid w:val="00501139"/>
    <w:rsid w:val="0050363E"/>
    <w:rsid w:val="005039BC"/>
    <w:rsid w:val="005043BB"/>
    <w:rsid w:val="00504A3D"/>
    <w:rsid w:val="00504D7C"/>
    <w:rsid w:val="00505767"/>
    <w:rsid w:val="0050684B"/>
    <w:rsid w:val="005073F0"/>
    <w:rsid w:val="00507859"/>
    <w:rsid w:val="00510A7B"/>
    <w:rsid w:val="00512F6E"/>
    <w:rsid w:val="00513038"/>
    <w:rsid w:val="00514174"/>
    <w:rsid w:val="00516088"/>
    <w:rsid w:val="0051655D"/>
    <w:rsid w:val="005167D7"/>
    <w:rsid w:val="00516B0B"/>
    <w:rsid w:val="005220EC"/>
    <w:rsid w:val="00523F95"/>
    <w:rsid w:val="00524D65"/>
    <w:rsid w:val="00525B16"/>
    <w:rsid w:val="00533D04"/>
    <w:rsid w:val="00534804"/>
    <w:rsid w:val="00534BDF"/>
    <w:rsid w:val="005354EA"/>
    <w:rsid w:val="0053585F"/>
    <w:rsid w:val="00535EC4"/>
    <w:rsid w:val="00535ED9"/>
    <w:rsid w:val="0053692B"/>
    <w:rsid w:val="00536FA9"/>
    <w:rsid w:val="00541853"/>
    <w:rsid w:val="00543BDA"/>
    <w:rsid w:val="005441CC"/>
    <w:rsid w:val="005479DA"/>
    <w:rsid w:val="00547BCC"/>
    <w:rsid w:val="0055013B"/>
    <w:rsid w:val="00551F6F"/>
    <w:rsid w:val="00553784"/>
    <w:rsid w:val="005542CB"/>
    <w:rsid w:val="00555044"/>
    <w:rsid w:val="00556CBA"/>
    <w:rsid w:val="00561475"/>
    <w:rsid w:val="0056487B"/>
    <w:rsid w:val="00564FB9"/>
    <w:rsid w:val="005722A0"/>
    <w:rsid w:val="00573D9E"/>
    <w:rsid w:val="005801E3"/>
    <w:rsid w:val="00581802"/>
    <w:rsid w:val="005836A8"/>
    <w:rsid w:val="0058409C"/>
    <w:rsid w:val="00584262"/>
    <w:rsid w:val="00586630"/>
    <w:rsid w:val="00587ADD"/>
    <w:rsid w:val="00595EBE"/>
    <w:rsid w:val="00596160"/>
    <w:rsid w:val="005966E2"/>
    <w:rsid w:val="00597007"/>
    <w:rsid w:val="0059705D"/>
    <w:rsid w:val="005A0966"/>
    <w:rsid w:val="005A11B7"/>
    <w:rsid w:val="005A260B"/>
    <w:rsid w:val="005A4A1B"/>
    <w:rsid w:val="005A7830"/>
    <w:rsid w:val="005A7FCE"/>
    <w:rsid w:val="005B03FD"/>
    <w:rsid w:val="005B0F3F"/>
    <w:rsid w:val="005B1C56"/>
    <w:rsid w:val="005B3CFE"/>
    <w:rsid w:val="005B4903"/>
    <w:rsid w:val="005B51CE"/>
    <w:rsid w:val="005B5885"/>
    <w:rsid w:val="005B5CD7"/>
    <w:rsid w:val="005B6CF6"/>
    <w:rsid w:val="005B7422"/>
    <w:rsid w:val="005C256F"/>
    <w:rsid w:val="005C29B8"/>
    <w:rsid w:val="005C5F21"/>
    <w:rsid w:val="005C7156"/>
    <w:rsid w:val="005D0C75"/>
    <w:rsid w:val="005D4171"/>
    <w:rsid w:val="005D6A95"/>
    <w:rsid w:val="005D6B2C"/>
    <w:rsid w:val="005D6D9C"/>
    <w:rsid w:val="005E19EE"/>
    <w:rsid w:val="005E2335"/>
    <w:rsid w:val="005E34CA"/>
    <w:rsid w:val="005E3C18"/>
    <w:rsid w:val="005E6812"/>
    <w:rsid w:val="005E74EA"/>
    <w:rsid w:val="005E7881"/>
    <w:rsid w:val="005E78E0"/>
    <w:rsid w:val="005F0D9C"/>
    <w:rsid w:val="005F284E"/>
    <w:rsid w:val="005F4712"/>
    <w:rsid w:val="006010E7"/>
    <w:rsid w:val="006015CE"/>
    <w:rsid w:val="00604784"/>
    <w:rsid w:val="00606419"/>
    <w:rsid w:val="00607D29"/>
    <w:rsid w:val="00612952"/>
    <w:rsid w:val="00614CC1"/>
    <w:rsid w:val="00614E97"/>
    <w:rsid w:val="00615A9D"/>
    <w:rsid w:val="00617387"/>
    <w:rsid w:val="006205D6"/>
    <w:rsid w:val="006243E8"/>
    <w:rsid w:val="006252D8"/>
    <w:rsid w:val="006259BC"/>
    <w:rsid w:val="0062636B"/>
    <w:rsid w:val="00632182"/>
    <w:rsid w:val="00632AE0"/>
    <w:rsid w:val="00633C17"/>
    <w:rsid w:val="00634D4C"/>
    <w:rsid w:val="00634D9E"/>
    <w:rsid w:val="00636E3E"/>
    <w:rsid w:val="006379F7"/>
    <w:rsid w:val="00637E4D"/>
    <w:rsid w:val="00640620"/>
    <w:rsid w:val="00641A1F"/>
    <w:rsid w:val="0064265A"/>
    <w:rsid w:val="00642C96"/>
    <w:rsid w:val="00643EBC"/>
    <w:rsid w:val="00645904"/>
    <w:rsid w:val="00645967"/>
    <w:rsid w:val="00645A8D"/>
    <w:rsid w:val="006519D7"/>
    <w:rsid w:val="00651ACB"/>
    <w:rsid w:val="00651C47"/>
    <w:rsid w:val="006521D8"/>
    <w:rsid w:val="00652AB2"/>
    <w:rsid w:val="00653ECA"/>
    <w:rsid w:val="00653FED"/>
    <w:rsid w:val="00654EC0"/>
    <w:rsid w:val="0065525B"/>
    <w:rsid w:val="00655D4F"/>
    <w:rsid w:val="00656D29"/>
    <w:rsid w:val="00663564"/>
    <w:rsid w:val="00663D4B"/>
    <w:rsid w:val="006640E5"/>
    <w:rsid w:val="006646F1"/>
    <w:rsid w:val="00664814"/>
    <w:rsid w:val="00664929"/>
    <w:rsid w:val="00664BFE"/>
    <w:rsid w:val="00664F62"/>
    <w:rsid w:val="006655E1"/>
    <w:rsid w:val="00667069"/>
    <w:rsid w:val="00672060"/>
    <w:rsid w:val="00672BFD"/>
    <w:rsid w:val="00676822"/>
    <w:rsid w:val="006770F4"/>
    <w:rsid w:val="00677A84"/>
    <w:rsid w:val="0068026D"/>
    <w:rsid w:val="00680A27"/>
    <w:rsid w:val="006816A4"/>
    <w:rsid w:val="00681756"/>
    <w:rsid w:val="006819B8"/>
    <w:rsid w:val="00682CB0"/>
    <w:rsid w:val="006840A6"/>
    <w:rsid w:val="006850CD"/>
    <w:rsid w:val="00685AAB"/>
    <w:rsid w:val="0068649E"/>
    <w:rsid w:val="006A07AA"/>
    <w:rsid w:val="006A25E5"/>
    <w:rsid w:val="006A2B46"/>
    <w:rsid w:val="006A336D"/>
    <w:rsid w:val="006A37B9"/>
    <w:rsid w:val="006A4A7C"/>
    <w:rsid w:val="006A683F"/>
    <w:rsid w:val="006A6D96"/>
    <w:rsid w:val="006A7933"/>
    <w:rsid w:val="006B2672"/>
    <w:rsid w:val="006B54BF"/>
    <w:rsid w:val="006B5F44"/>
    <w:rsid w:val="006B5F90"/>
    <w:rsid w:val="006B62E4"/>
    <w:rsid w:val="006B6EB3"/>
    <w:rsid w:val="006B74C8"/>
    <w:rsid w:val="006C1BBA"/>
    <w:rsid w:val="006C2079"/>
    <w:rsid w:val="006C23A6"/>
    <w:rsid w:val="006C3A17"/>
    <w:rsid w:val="006C5A62"/>
    <w:rsid w:val="006C5D68"/>
    <w:rsid w:val="006C6976"/>
    <w:rsid w:val="006C6DD0"/>
    <w:rsid w:val="006C6F4A"/>
    <w:rsid w:val="006D04EA"/>
    <w:rsid w:val="006D16C4"/>
    <w:rsid w:val="006D3E96"/>
    <w:rsid w:val="006D4515"/>
    <w:rsid w:val="006D4BB1"/>
    <w:rsid w:val="006D568D"/>
    <w:rsid w:val="006D6438"/>
    <w:rsid w:val="006D6564"/>
    <w:rsid w:val="006D6593"/>
    <w:rsid w:val="006D6F87"/>
    <w:rsid w:val="006E23EA"/>
    <w:rsid w:val="006F03A8"/>
    <w:rsid w:val="006F2ACA"/>
    <w:rsid w:val="006F2ADC"/>
    <w:rsid w:val="006F2BFE"/>
    <w:rsid w:val="006F31E9"/>
    <w:rsid w:val="006F4A1C"/>
    <w:rsid w:val="006F6284"/>
    <w:rsid w:val="007002C5"/>
    <w:rsid w:val="0070376F"/>
    <w:rsid w:val="00704387"/>
    <w:rsid w:val="00707669"/>
    <w:rsid w:val="00711CBA"/>
    <w:rsid w:val="00711FB5"/>
    <w:rsid w:val="007128CE"/>
    <w:rsid w:val="00712A01"/>
    <w:rsid w:val="00712A70"/>
    <w:rsid w:val="007133CF"/>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3AE"/>
    <w:rsid w:val="007501A8"/>
    <w:rsid w:val="00750D61"/>
    <w:rsid w:val="00750EE1"/>
    <w:rsid w:val="00752B4D"/>
    <w:rsid w:val="00755402"/>
    <w:rsid w:val="00756B26"/>
    <w:rsid w:val="00756EDF"/>
    <w:rsid w:val="007600E3"/>
    <w:rsid w:val="00765C43"/>
    <w:rsid w:val="00765EFB"/>
    <w:rsid w:val="007671CA"/>
    <w:rsid w:val="00767C61"/>
    <w:rsid w:val="0077008A"/>
    <w:rsid w:val="00771F98"/>
    <w:rsid w:val="00772279"/>
    <w:rsid w:val="00773C1F"/>
    <w:rsid w:val="00774DA4"/>
    <w:rsid w:val="00776599"/>
    <w:rsid w:val="0078114B"/>
    <w:rsid w:val="00781DD2"/>
    <w:rsid w:val="00783E85"/>
    <w:rsid w:val="00783ECF"/>
    <w:rsid w:val="0078413A"/>
    <w:rsid w:val="00792576"/>
    <w:rsid w:val="007959E8"/>
    <w:rsid w:val="00795E9C"/>
    <w:rsid w:val="00796DB6"/>
    <w:rsid w:val="007A0296"/>
    <w:rsid w:val="007A0521"/>
    <w:rsid w:val="007A20D2"/>
    <w:rsid w:val="007A2E12"/>
    <w:rsid w:val="007A3475"/>
    <w:rsid w:val="007A36DD"/>
    <w:rsid w:val="007A41C8"/>
    <w:rsid w:val="007A54CE"/>
    <w:rsid w:val="007A6FD9"/>
    <w:rsid w:val="007A7FFA"/>
    <w:rsid w:val="007B04EB"/>
    <w:rsid w:val="007B0D4F"/>
    <w:rsid w:val="007B1B29"/>
    <w:rsid w:val="007B481E"/>
    <w:rsid w:val="007B5A3D"/>
    <w:rsid w:val="007B5B95"/>
    <w:rsid w:val="007B6483"/>
    <w:rsid w:val="007B68EA"/>
    <w:rsid w:val="007B7453"/>
    <w:rsid w:val="007B74D3"/>
    <w:rsid w:val="007C1E8B"/>
    <w:rsid w:val="007C2D89"/>
    <w:rsid w:val="007C4593"/>
    <w:rsid w:val="007C5309"/>
    <w:rsid w:val="007C6069"/>
    <w:rsid w:val="007C6DF0"/>
    <w:rsid w:val="007C706D"/>
    <w:rsid w:val="007D06C4"/>
    <w:rsid w:val="007D1352"/>
    <w:rsid w:val="007D2508"/>
    <w:rsid w:val="007D346A"/>
    <w:rsid w:val="007D6518"/>
    <w:rsid w:val="007D76BD"/>
    <w:rsid w:val="007E0BF1"/>
    <w:rsid w:val="007F0ED8"/>
    <w:rsid w:val="007F0F63"/>
    <w:rsid w:val="007F53FC"/>
    <w:rsid w:val="007F6D14"/>
    <w:rsid w:val="007F75CE"/>
    <w:rsid w:val="00800673"/>
    <w:rsid w:val="00800C13"/>
    <w:rsid w:val="008013A4"/>
    <w:rsid w:val="008027CE"/>
    <w:rsid w:val="00802F42"/>
    <w:rsid w:val="008032FF"/>
    <w:rsid w:val="00804383"/>
    <w:rsid w:val="00804BB7"/>
    <w:rsid w:val="00804D41"/>
    <w:rsid w:val="00810257"/>
    <w:rsid w:val="008104F5"/>
    <w:rsid w:val="00811072"/>
    <w:rsid w:val="00811369"/>
    <w:rsid w:val="00815419"/>
    <w:rsid w:val="008163C8"/>
    <w:rsid w:val="008164A1"/>
    <w:rsid w:val="00816C20"/>
    <w:rsid w:val="00817325"/>
    <w:rsid w:val="008209E6"/>
    <w:rsid w:val="00820FED"/>
    <w:rsid w:val="00823303"/>
    <w:rsid w:val="008233B2"/>
    <w:rsid w:val="00823A9F"/>
    <w:rsid w:val="00823C85"/>
    <w:rsid w:val="008246C2"/>
    <w:rsid w:val="00825138"/>
    <w:rsid w:val="008269DD"/>
    <w:rsid w:val="00830621"/>
    <w:rsid w:val="00830DAC"/>
    <w:rsid w:val="0083348C"/>
    <w:rsid w:val="00833FA6"/>
    <w:rsid w:val="00834DF9"/>
    <w:rsid w:val="008373D3"/>
    <w:rsid w:val="00837CB7"/>
    <w:rsid w:val="00840617"/>
    <w:rsid w:val="00840D2C"/>
    <w:rsid w:val="00840F84"/>
    <w:rsid w:val="00842A47"/>
    <w:rsid w:val="00843C13"/>
    <w:rsid w:val="008454F8"/>
    <w:rsid w:val="00850737"/>
    <w:rsid w:val="0085173A"/>
    <w:rsid w:val="00856316"/>
    <w:rsid w:val="00856EE0"/>
    <w:rsid w:val="008603CE"/>
    <w:rsid w:val="008620FC"/>
    <w:rsid w:val="008627A5"/>
    <w:rsid w:val="00863E05"/>
    <w:rsid w:val="00865ACA"/>
    <w:rsid w:val="00865D28"/>
    <w:rsid w:val="00865F85"/>
    <w:rsid w:val="00867C10"/>
    <w:rsid w:val="00870439"/>
    <w:rsid w:val="00870ABB"/>
    <w:rsid w:val="00870DA1"/>
    <w:rsid w:val="0088133A"/>
    <w:rsid w:val="00883F93"/>
    <w:rsid w:val="00884DB3"/>
    <w:rsid w:val="008851D9"/>
    <w:rsid w:val="00885A9D"/>
    <w:rsid w:val="008864D6"/>
    <w:rsid w:val="008864F6"/>
    <w:rsid w:val="0089049D"/>
    <w:rsid w:val="008928C9"/>
    <w:rsid w:val="008930CB"/>
    <w:rsid w:val="008938DC"/>
    <w:rsid w:val="00893FD1"/>
    <w:rsid w:val="00894836"/>
    <w:rsid w:val="00895172"/>
    <w:rsid w:val="00895680"/>
    <w:rsid w:val="00896DFF"/>
    <w:rsid w:val="00897500"/>
    <w:rsid w:val="0089762C"/>
    <w:rsid w:val="008A0892"/>
    <w:rsid w:val="008A1893"/>
    <w:rsid w:val="008A3215"/>
    <w:rsid w:val="008A3E3C"/>
    <w:rsid w:val="008A54B2"/>
    <w:rsid w:val="008A57E6"/>
    <w:rsid w:val="008A6F81"/>
    <w:rsid w:val="008A769A"/>
    <w:rsid w:val="008B0130"/>
    <w:rsid w:val="008B0C9C"/>
    <w:rsid w:val="008B166D"/>
    <w:rsid w:val="008B17F4"/>
    <w:rsid w:val="008B3615"/>
    <w:rsid w:val="008B4AC4"/>
    <w:rsid w:val="008B4E14"/>
    <w:rsid w:val="008B50C8"/>
    <w:rsid w:val="008B5281"/>
    <w:rsid w:val="008B7E05"/>
    <w:rsid w:val="008C089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5CD"/>
    <w:rsid w:val="008E6A84"/>
    <w:rsid w:val="008E7A6C"/>
    <w:rsid w:val="008F0CDC"/>
    <w:rsid w:val="008F17A3"/>
    <w:rsid w:val="008F1ED3"/>
    <w:rsid w:val="008F23A5"/>
    <w:rsid w:val="008F4C29"/>
    <w:rsid w:val="008F70BD"/>
    <w:rsid w:val="008F788F"/>
    <w:rsid w:val="008F7EA2"/>
    <w:rsid w:val="008F7F35"/>
    <w:rsid w:val="00900649"/>
    <w:rsid w:val="00902722"/>
    <w:rsid w:val="009027BC"/>
    <w:rsid w:val="009062E6"/>
    <w:rsid w:val="00911BE5"/>
    <w:rsid w:val="00913CA9"/>
    <w:rsid w:val="009145AE"/>
    <w:rsid w:val="009146CE"/>
    <w:rsid w:val="00914CA7"/>
    <w:rsid w:val="00915C3E"/>
    <w:rsid w:val="009161A8"/>
    <w:rsid w:val="009216B3"/>
    <w:rsid w:val="009245F5"/>
    <w:rsid w:val="009249EC"/>
    <w:rsid w:val="009273B3"/>
    <w:rsid w:val="00927F6F"/>
    <w:rsid w:val="009305B5"/>
    <w:rsid w:val="00930614"/>
    <w:rsid w:val="00932976"/>
    <w:rsid w:val="00940DC3"/>
    <w:rsid w:val="009429D5"/>
    <w:rsid w:val="00942BF1"/>
    <w:rsid w:val="00945180"/>
    <w:rsid w:val="00945428"/>
    <w:rsid w:val="0094607B"/>
    <w:rsid w:val="009462F3"/>
    <w:rsid w:val="00946AF6"/>
    <w:rsid w:val="00951AFB"/>
    <w:rsid w:val="00953604"/>
    <w:rsid w:val="0095496B"/>
    <w:rsid w:val="00955968"/>
    <w:rsid w:val="009610DC"/>
    <w:rsid w:val="00961490"/>
    <w:rsid w:val="0096175A"/>
    <w:rsid w:val="009633A6"/>
    <w:rsid w:val="0096381A"/>
    <w:rsid w:val="00965887"/>
    <w:rsid w:val="00965E04"/>
    <w:rsid w:val="009674AD"/>
    <w:rsid w:val="00970CDC"/>
    <w:rsid w:val="009711AF"/>
    <w:rsid w:val="00971ED8"/>
    <w:rsid w:val="0097333B"/>
    <w:rsid w:val="00977010"/>
    <w:rsid w:val="00977D02"/>
    <w:rsid w:val="009809BB"/>
    <w:rsid w:val="00982992"/>
    <w:rsid w:val="0098364B"/>
    <w:rsid w:val="009911AF"/>
    <w:rsid w:val="00991875"/>
    <w:rsid w:val="00991F92"/>
    <w:rsid w:val="00992985"/>
    <w:rsid w:val="00993889"/>
    <w:rsid w:val="0099551B"/>
    <w:rsid w:val="00997BF1"/>
    <w:rsid w:val="009A089C"/>
    <w:rsid w:val="009A0E55"/>
    <w:rsid w:val="009A118E"/>
    <w:rsid w:val="009A21CD"/>
    <w:rsid w:val="009A278C"/>
    <w:rsid w:val="009A2BC2"/>
    <w:rsid w:val="009A42C1"/>
    <w:rsid w:val="009A5429"/>
    <w:rsid w:val="009A72AD"/>
    <w:rsid w:val="009A7B6D"/>
    <w:rsid w:val="009B09E0"/>
    <w:rsid w:val="009B0BC5"/>
    <w:rsid w:val="009B1247"/>
    <w:rsid w:val="009B6029"/>
    <w:rsid w:val="009B6971"/>
    <w:rsid w:val="009C2619"/>
    <w:rsid w:val="009C27F1"/>
    <w:rsid w:val="009C3152"/>
    <w:rsid w:val="009C32E1"/>
    <w:rsid w:val="009C3638"/>
    <w:rsid w:val="009C4CFA"/>
    <w:rsid w:val="009C5070"/>
    <w:rsid w:val="009C5811"/>
    <w:rsid w:val="009D112C"/>
    <w:rsid w:val="009D47FA"/>
    <w:rsid w:val="009D4C5B"/>
    <w:rsid w:val="009D50D2"/>
    <w:rsid w:val="009D6BCA"/>
    <w:rsid w:val="009E0F62"/>
    <w:rsid w:val="009E1EB6"/>
    <w:rsid w:val="009E42FF"/>
    <w:rsid w:val="009E4A58"/>
    <w:rsid w:val="009E5A2D"/>
    <w:rsid w:val="009E5AB2"/>
    <w:rsid w:val="009E6219"/>
    <w:rsid w:val="009F03B3"/>
    <w:rsid w:val="009F1272"/>
    <w:rsid w:val="00A007E7"/>
    <w:rsid w:val="00A0096C"/>
    <w:rsid w:val="00A01757"/>
    <w:rsid w:val="00A028C0"/>
    <w:rsid w:val="00A02BAE"/>
    <w:rsid w:val="00A06A6B"/>
    <w:rsid w:val="00A07E47"/>
    <w:rsid w:val="00A1226C"/>
    <w:rsid w:val="00A129D0"/>
    <w:rsid w:val="00A12C33"/>
    <w:rsid w:val="00A138BA"/>
    <w:rsid w:val="00A14C8E"/>
    <w:rsid w:val="00A153D9"/>
    <w:rsid w:val="00A15F09"/>
    <w:rsid w:val="00A169B6"/>
    <w:rsid w:val="00A20C65"/>
    <w:rsid w:val="00A2271D"/>
    <w:rsid w:val="00A237D5"/>
    <w:rsid w:val="00A23AD2"/>
    <w:rsid w:val="00A24D06"/>
    <w:rsid w:val="00A269D3"/>
    <w:rsid w:val="00A27957"/>
    <w:rsid w:val="00A30EFC"/>
    <w:rsid w:val="00A31984"/>
    <w:rsid w:val="00A32A7D"/>
    <w:rsid w:val="00A32D73"/>
    <w:rsid w:val="00A3367B"/>
    <w:rsid w:val="00A348CC"/>
    <w:rsid w:val="00A3597D"/>
    <w:rsid w:val="00A36DD1"/>
    <w:rsid w:val="00A4006C"/>
    <w:rsid w:val="00A40091"/>
    <w:rsid w:val="00A4030F"/>
    <w:rsid w:val="00A41C79"/>
    <w:rsid w:val="00A41CB5"/>
    <w:rsid w:val="00A42CDF"/>
    <w:rsid w:val="00A4452E"/>
    <w:rsid w:val="00A4472C"/>
    <w:rsid w:val="00A44E69"/>
    <w:rsid w:val="00A4661E"/>
    <w:rsid w:val="00A50872"/>
    <w:rsid w:val="00A55BD6"/>
    <w:rsid w:val="00A55D50"/>
    <w:rsid w:val="00A57142"/>
    <w:rsid w:val="00A6252D"/>
    <w:rsid w:val="00A648CD"/>
    <w:rsid w:val="00A6537A"/>
    <w:rsid w:val="00A67866"/>
    <w:rsid w:val="00A70B07"/>
    <w:rsid w:val="00A723F8"/>
    <w:rsid w:val="00A77CCB"/>
    <w:rsid w:val="00A77D4B"/>
    <w:rsid w:val="00A80761"/>
    <w:rsid w:val="00A83D8D"/>
    <w:rsid w:val="00A8446B"/>
    <w:rsid w:val="00A8473F"/>
    <w:rsid w:val="00A84ACC"/>
    <w:rsid w:val="00A84C8C"/>
    <w:rsid w:val="00A862D6"/>
    <w:rsid w:val="00A8715E"/>
    <w:rsid w:val="00A92645"/>
    <w:rsid w:val="00A9295B"/>
    <w:rsid w:val="00A93B09"/>
    <w:rsid w:val="00A94247"/>
    <w:rsid w:val="00A952D7"/>
    <w:rsid w:val="00A963F7"/>
    <w:rsid w:val="00A96AD8"/>
    <w:rsid w:val="00AA052C"/>
    <w:rsid w:val="00AA1E45"/>
    <w:rsid w:val="00AA4286"/>
    <w:rsid w:val="00AA456B"/>
    <w:rsid w:val="00AA57F5"/>
    <w:rsid w:val="00AA672E"/>
    <w:rsid w:val="00AA6EC9"/>
    <w:rsid w:val="00AB0A22"/>
    <w:rsid w:val="00AB1AA2"/>
    <w:rsid w:val="00AB41D5"/>
    <w:rsid w:val="00AB6309"/>
    <w:rsid w:val="00AB6C5F"/>
    <w:rsid w:val="00AB7129"/>
    <w:rsid w:val="00AC27A6"/>
    <w:rsid w:val="00AC30F7"/>
    <w:rsid w:val="00AC3A5A"/>
    <w:rsid w:val="00AC4D95"/>
    <w:rsid w:val="00AC5DF4"/>
    <w:rsid w:val="00AD014B"/>
    <w:rsid w:val="00AD0AEF"/>
    <w:rsid w:val="00AD11B7"/>
    <w:rsid w:val="00AD1A94"/>
    <w:rsid w:val="00AD1C05"/>
    <w:rsid w:val="00AD4126"/>
    <w:rsid w:val="00AD421C"/>
    <w:rsid w:val="00AD44FA"/>
    <w:rsid w:val="00AE070A"/>
    <w:rsid w:val="00AE101C"/>
    <w:rsid w:val="00AE37E5"/>
    <w:rsid w:val="00AE5B4B"/>
    <w:rsid w:val="00AE5EB4"/>
    <w:rsid w:val="00AF0C18"/>
    <w:rsid w:val="00AF2163"/>
    <w:rsid w:val="00AF47C5"/>
    <w:rsid w:val="00AF5398"/>
    <w:rsid w:val="00AF7C96"/>
    <w:rsid w:val="00B0045F"/>
    <w:rsid w:val="00B02C1C"/>
    <w:rsid w:val="00B045A8"/>
    <w:rsid w:val="00B049AF"/>
    <w:rsid w:val="00B04B2E"/>
    <w:rsid w:val="00B07242"/>
    <w:rsid w:val="00B10534"/>
    <w:rsid w:val="00B113DB"/>
    <w:rsid w:val="00B11D8A"/>
    <w:rsid w:val="00B12981"/>
    <w:rsid w:val="00B147DD"/>
    <w:rsid w:val="00B14825"/>
    <w:rsid w:val="00B156FD"/>
    <w:rsid w:val="00B16C5B"/>
    <w:rsid w:val="00B21F41"/>
    <w:rsid w:val="00B21F61"/>
    <w:rsid w:val="00B2279E"/>
    <w:rsid w:val="00B261F1"/>
    <w:rsid w:val="00B265BC"/>
    <w:rsid w:val="00B266D1"/>
    <w:rsid w:val="00B31FB1"/>
    <w:rsid w:val="00B3307F"/>
    <w:rsid w:val="00B33952"/>
    <w:rsid w:val="00B33C5E"/>
    <w:rsid w:val="00B342F4"/>
    <w:rsid w:val="00B34369"/>
    <w:rsid w:val="00B34DC2"/>
    <w:rsid w:val="00B378E5"/>
    <w:rsid w:val="00B4346D"/>
    <w:rsid w:val="00B43FB8"/>
    <w:rsid w:val="00B440F4"/>
    <w:rsid w:val="00B447A5"/>
    <w:rsid w:val="00B4654C"/>
    <w:rsid w:val="00B47293"/>
    <w:rsid w:val="00B4762E"/>
    <w:rsid w:val="00B50E50"/>
    <w:rsid w:val="00B52120"/>
    <w:rsid w:val="00B54ABC"/>
    <w:rsid w:val="00B54DDE"/>
    <w:rsid w:val="00B56F53"/>
    <w:rsid w:val="00B56FBE"/>
    <w:rsid w:val="00B60ACF"/>
    <w:rsid w:val="00B62B58"/>
    <w:rsid w:val="00B65149"/>
    <w:rsid w:val="00B66567"/>
    <w:rsid w:val="00B66F52"/>
    <w:rsid w:val="00B66FE5"/>
    <w:rsid w:val="00B701DD"/>
    <w:rsid w:val="00B70F0E"/>
    <w:rsid w:val="00B71168"/>
    <w:rsid w:val="00B72880"/>
    <w:rsid w:val="00B758BF"/>
    <w:rsid w:val="00B77EC8"/>
    <w:rsid w:val="00B827A6"/>
    <w:rsid w:val="00B831CE"/>
    <w:rsid w:val="00B86677"/>
    <w:rsid w:val="00B87131"/>
    <w:rsid w:val="00B87845"/>
    <w:rsid w:val="00B939B1"/>
    <w:rsid w:val="00B96D40"/>
    <w:rsid w:val="00B97386"/>
    <w:rsid w:val="00BA263B"/>
    <w:rsid w:val="00BA42B2"/>
    <w:rsid w:val="00BA58D4"/>
    <w:rsid w:val="00BA5B9E"/>
    <w:rsid w:val="00BA68EC"/>
    <w:rsid w:val="00BA7C9A"/>
    <w:rsid w:val="00BB5F8F"/>
    <w:rsid w:val="00BB657A"/>
    <w:rsid w:val="00BB6AEA"/>
    <w:rsid w:val="00BC1A4E"/>
    <w:rsid w:val="00BC5DC7"/>
    <w:rsid w:val="00BC6B8B"/>
    <w:rsid w:val="00BC73D8"/>
    <w:rsid w:val="00BD06AF"/>
    <w:rsid w:val="00BD52D7"/>
    <w:rsid w:val="00BD5AD2"/>
    <w:rsid w:val="00BE22F3"/>
    <w:rsid w:val="00BE5142"/>
    <w:rsid w:val="00BE5B52"/>
    <w:rsid w:val="00BE7B8D"/>
    <w:rsid w:val="00BF0993"/>
    <w:rsid w:val="00BF10A9"/>
    <w:rsid w:val="00BF1703"/>
    <w:rsid w:val="00BF231C"/>
    <w:rsid w:val="00BF3F92"/>
    <w:rsid w:val="00BF51E5"/>
    <w:rsid w:val="00BF74A6"/>
    <w:rsid w:val="00C013AD"/>
    <w:rsid w:val="00C04904"/>
    <w:rsid w:val="00C056B3"/>
    <w:rsid w:val="00C103E5"/>
    <w:rsid w:val="00C13319"/>
    <w:rsid w:val="00C13EE9"/>
    <w:rsid w:val="00C14DD5"/>
    <w:rsid w:val="00C157AB"/>
    <w:rsid w:val="00C20919"/>
    <w:rsid w:val="00C21540"/>
    <w:rsid w:val="00C21906"/>
    <w:rsid w:val="00C21BFA"/>
    <w:rsid w:val="00C21F36"/>
    <w:rsid w:val="00C22148"/>
    <w:rsid w:val="00C24C8D"/>
    <w:rsid w:val="00C25FE2"/>
    <w:rsid w:val="00C26B53"/>
    <w:rsid w:val="00C279B2"/>
    <w:rsid w:val="00C3332B"/>
    <w:rsid w:val="00C33E50"/>
    <w:rsid w:val="00C34611"/>
    <w:rsid w:val="00C34C20"/>
    <w:rsid w:val="00C35A3E"/>
    <w:rsid w:val="00C36673"/>
    <w:rsid w:val="00C42130"/>
    <w:rsid w:val="00C423A4"/>
    <w:rsid w:val="00C44BF5"/>
    <w:rsid w:val="00C44E96"/>
    <w:rsid w:val="00C4695B"/>
    <w:rsid w:val="00C518C5"/>
    <w:rsid w:val="00C521D6"/>
    <w:rsid w:val="00C55232"/>
    <w:rsid w:val="00C553A4"/>
    <w:rsid w:val="00C55A06"/>
    <w:rsid w:val="00C55D03"/>
    <w:rsid w:val="00C56D4F"/>
    <w:rsid w:val="00C601BC"/>
    <w:rsid w:val="00C617CB"/>
    <w:rsid w:val="00C63180"/>
    <w:rsid w:val="00C6329F"/>
    <w:rsid w:val="00C63340"/>
    <w:rsid w:val="00C640F2"/>
    <w:rsid w:val="00C643F9"/>
    <w:rsid w:val="00C64E95"/>
    <w:rsid w:val="00C71372"/>
    <w:rsid w:val="00C72410"/>
    <w:rsid w:val="00C7287F"/>
    <w:rsid w:val="00C80CB8"/>
    <w:rsid w:val="00C819F8"/>
    <w:rsid w:val="00C8248C"/>
    <w:rsid w:val="00C82774"/>
    <w:rsid w:val="00C84E33"/>
    <w:rsid w:val="00C85873"/>
    <w:rsid w:val="00C86D6F"/>
    <w:rsid w:val="00C9016C"/>
    <w:rsid w:val="00C905FC"/>
    <w:rsid w:val="00C9229B"/>
    <w:rsid w:val="00C92D03"/>
    <w:rsid w:val="00C9319C"/>
    <w:rsid w:val="00C9435D"/>
    <w:rsid w:val="00C94DF2"/>
    <w:rsid w:val="00C96741"/>
    <w:rsid w:val="00C97B21"/>
    <w:rsid w:val="00CA115A"/>
    <w:rsid w:val="00CA2D1B"/>
    <w:rsid w:val="00CA375D"/>
    <w:rsid w:val="00CA3ED4"/>
    <w:rsid w:val="00CA662A"/>
    <w:rsid w:val="00CA7AFD"/>
    <w:rsid w:val="00CA7C3C"/>
    <w:rsid w:val="00CB0189"/>
    <w:rsid w:val="00CB0BA2"/>
    <w:rsid w:val="00CB1A42"/>
    <w:rsid w:val="00CB1B0C"/>
    <w:rsid w:val="00CB1B40"/>
    <w:rsid w:val="00CB2C0B"/>
    <w:rsid w:val="00CB3C07"/>
    <w:rsid w:val="00CB517D"/>
    <w:rsid w:val="00CB6ACC"/>
    <w:rsid w:val="00CC038D"/>
    <w:rsid w:val="00CC08DB"/>
    <w:rsid w:val="00CC39FF"/>
    <w:rsid w:val="00CC3C2F"/>
    <w:rsid w:val="00CC3CA2"/>
    <w:rsid w:val="00CC4AC8"/>
    <w:rsid w:val="00CC5007"/>
    <w:rsid w:val="00CC5233"/>
    <w:rsid w:val="00CC5DE6"/>
    <w:rsid w:val="00CC6E4E"/>
    <w:rsid w:val="00CC6FE8"/>
    <w:rsid w:val="00CC7202"/>
    <w:rsid w:val="00CD0225"/>
    <w:rsid w:val="00CD2808"/>
    <w:rsid w:val="00CD28BF"/>
    <w:rsid w:val="00CD4092"/>
    <w:rsid w:val="00CD4A20"/>
    <w:rsid w:val="00CD50A1"/>
    <w:rsid w:val="00CD519E"/>
    <w:rsid w:val="00CE0C4F"/>
    <w:rsid w:val="00CE30EA"/>
    <w:rsid w:val="00CE5781"/>
    <w:rsid w:val="00CF048A"/>
    <w:rsid w:val="00CF05D5"/>
    <w:rsid w:val="00CF155A"/>
    <w:rsid w:val="00CF2947"/>
    <w:rsid w:val="00CF686F"/>
    <w:rsid w:val="00CF6E60"/>
    <w:rsid w:val="00CF7202"/>
    <w:rsid w:val="00CF7BCA"/>
    <w:rsid w:val="00D008FD"/>
    <w:rsid w:val="00D00BDF"/>
    <w:rsid w:val="00D0321C"/>
    <w:rsid w:val="00D035EC"/>
    <w:rsid w:val="00D06AB1"/>
    <w:rsid w:val="00D072ED"/>
    <w:rsid w:val="00D07A16"/>
    <w:rsid w:val="00D1067E"/>
    <w:rsid w:val="00D10F50"/>
    <w:rsid w:val="00D11272"/>
    <w:rsid w:val="00D126F5"/>
    <w:rsid w:val="00D143BC"/>
    <w:rsid w:val="00D1489E"/>
    <w:rsid w:val="00D20737"/>
    <w:rsid w:val="00D21E81"/>
    <w:rsid w:val="00D223DE"/>
    <w:rsid w:val="00D25E37"/>
    <w:rsid w:val="00D2661A"/>
    <w:rsid w:val="00D27582"/>
    <w:rsid w:val="00D27EC4"/>
    <w:rsid w:val="00D3108C"/>
    <w:rsid w:val="00D32719"/>
    <w:rsid w:val="00D33333"/>
    <w:rsid w:val="00D33457"/>
    <w:rsid w:val="00D352A2"/>
    <w:rsid w:val="00D4162B"/>
    <w:rsid w:val="00D4514F"/>
    <w:rsid w:val="00D451E2"/>
    <w:rsid w:val="00D45E89"/>
    <w:rsid w:val="00D45E8D"/>
    <w:rsid w:val="00D466AE"/>
    <w:rsid w:val="00D46DAD"/>
    <w:rsid w:val="00D4734F"/>
    <w:rsid w:val="00D50484"/>
    <w:rsid w:val="00D5073C"/>
    <w:rsid w:val="00D51BF3"/>
    <w:rsid w:val="00D55C23"/>
    <w:rsid w:val="00D6531C"/>
    <w:rsid w:val="00D6554B"/>
    <w:rsid w:val="00D66801"/>
    <w:rsid w:val="00D66846"/>
    <w:rsid w:val="00D675FB"/>
    <w:rsid w:val="00D71F25"/>
    <w:rsid w:val="00D72A9C"/>
    <w:rsid w:val="00D73124"/>
    <w:rsid w:val="00D73CC0"/>
    <w:rsid w:val="00D77031"/>
    <w:rsid w:val="00D83876"/>
    <w:rsid w:val="00D84941"/>
    <w:rsid w:val="00D84FA1"/>
    <w:rsid w:val="00D851F0"/>
    <w:rsid w:val="00D855B6"/>
    <w:rsid w:val="00D86DB7"/>
    <w:rsid w:val="00D926D0"/>
    <w:rsid w:val="00D927BA"/>
    <w:rsid w:val="00D93030"/>
    <w:rsid w:val="00D93CB7"/>
    <w:rsid w:val="00D950E1"/>
    <w:rsid w:val="00D952A6"/>
    <w:rsid w:val="00D96F1D"/>
    <w:rsid w:val="00D97F99"/>
    <w:rsid w:val="00DA1E08"/>
    <w:rsid w:val="00DA2384"/>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413"/>
    <w:rsid w:val="00DC370B"/>
    <w:rsid w:val="00DC5B90"/>
    <w:rsid w:val="00DD00FF"/>
    <w:rsid w:val="00DD0619"/>
    <w:rsid w:val="00DD07FB"/>
    <w:rsid w:val="00DD25C6"/>
    <w:rsid w:val="00DD4FE5"/>
    <w:rsid w:val="00DD54B0"/>
    <w:rsid w:val="00DD57EE"/>
    <w:rsid w:val="00DD6BCC"/>
    <w:rsid w:val="00DE0284"/>
    <w:rsid w:val="00DE0A4B"/>
    <w:rsid w:val="00DE2410"/>
    <w:rsid w:val="00DE2939"/>
    <w:rsid w:val="00DE2ED7"/>
    <w:rsid w:val="00DE52CA"/>
    <w:rsid w:val="00DE6E81"/>
    <w:rsid w:val="00DE703F"/>
    <w:rsid w:val="00DE7595"/>
    <w:rsid w:val="00DF1961"/>
    <w:rsid w:val="00DF44DE"/>
    <w:rsid w:val="00DF5F11"/>
    <w:rsid w:val="00DF7749"/>
    <w:rsid w:val="00E01138"/>
    <w:rsid w:val="00E02DFB"/>
    <w:rsid w:val="00E030F9"/>
    <w:rsid w:val="00E0311A"/>
    <w:rsid w:val="00E03138"/>
    <w:rsid w:val="00E06404"/>
    <w:rsid w:val="00E076E6"/>
    <w:rsid w:val="00E11A85"/>
    <w:rsid w:val="00E12495"/>
    <w:rsid w:val="00E12D31"/>
    <w:rsid w:val="00E15CCD"/>
    <w:rsid w:val="00E202EF"/>
    <w:rsid w:val="00E210B5"/>
    <w:rsid w:val="00E23D99"/>
    <w:rsid w:val="00E2552F"/>
    <w:rsid w:val="00E3137A"/>
    <w:rsid w:val="00E32CCF"/>
    <w:rsid w:val="00E34A98"/>
    <w:rsid w:val="00E35D1E"/>
    <w:rsid w:val="00E364F9"/>
    <w:rsid w:val="00E365FA"/>
    <w:rsid w:val="00E36789"/>
    <w:rsid w:val="00E4245B"/>
    <w:rsid w:val="00E44A83"/>
    <w:rsid w:val="00E502C1"/>
    <w:rsid w:val="00E502DD"/>
    <w:rsid w:val="00E50D3A"/>
    <w:rsid w:val="00E51387"/>
    <w:rsid w:val="00E51E68"/>
    <w:rsid w:val="00E5210D"/>
    <w:rsid w:val="00E52CBA"/>
    <w:rsid w:val="00E52EFD"/>
    <w:rsid w:val="00E5408A"/>
    <w:rsid w:val="00E56800"/>
    <w:rsid w:val="00E60C63"/>
    <w:rsid w:val="00E61A9B"/>
    <w:rsid w:val="00E62FF9"/>
    <w:rsid w:val="00E635D6"/>
    <w:rsid w:val="00E6371F"/>
    <w:rsid w:val="00E639BC"/>
    <w:rsid w:val="00E664CC"/>
    <w:rsid w:val="00E70388"/>
    <w:rsid w:val="00E70F92"/>
    <w:rsid w:val="00E727BF"/>
    <w:rsid w:val="00E74C54"/>
    <w:rsid w:val="00E77A03"/>
    <w:rsid w:val="00E822E8"/>
    <w:rsid w:val="00E82554"/>
    <w:rsid w:val="00E82606"/>
    <w:rsid w:val="00E846C8"/>
    <w:rsid w:val="00E84957"/>
    <w:rsid w:val="00E84A55"/>
    <w:rsid w:val="00E85BFF"/>
    <w:rsid w:val="00E87B8A"/>
    <w:rsid w:val="00E90391"/>
    <w:rsid w:val="00E906C2"/>
    <w:rsid w:val="00E92AD0"/>
    <w:rsid w:val="00E9311F"/>
    <w:rsid w:val="00E934D1"/>
    <w:rsid w:val="00E94AF0"/>
    <w:rsid w:val="00E95D13"/>
    <w:rsid w:val="00E95DD3"/>
    <w:rsid w:val="00E969D5"/>
    <w:rsid w:val="00EA05FD"/>
    <w:rsid w:val="00EA58D1"/>
    <w:rsid w:val="00EA61BC"/>
    <w:rsid w:val="00EA663F"/>
    <w:rsid w:val="00EA681A"/>
    <w:rsid w:val="00EA6C55"/>
    <w:rsid w:val="00EA735B"/>
    <w:rsid w:val="00EA73BA"/>
    <w:rsid w:val="00EA7EBA"/>
    <w:rsid w:val="00EB07D4"/>
    <w:rsid w:val="00EB17DE"/>
    <w:rsid w:val="00EB1E69"/>
    <w:rsid w:val="00EB2086"/>
    <w:rsid w:val="00EB2AB6"/>
    <w:rsid w:val="00EB372E"/>
    <w:rsid w:val="00EB5EDF"/>
    <w:rsid w:val="00EB60FE"/>
    <w:rsid w:val="00EB74DB"/>
    <w:rsid w:val="00EC5359"/>
    <w:rsid w:val="00EC562A"/>
    <w:rsid w:val="00ED067A"/>
    <w:rsid w:val="00ED2B50"/>
    <w:rsid w:val="00ED3253"/>
    <w:rsid w:val="00ED577C"/>
    <w:rsid w:val="00ED57E6"/>
    <w:rsid w:val="00EE02DD"/>
    <w:rsid w:val="00EE0350"/>
    <w:rsid w:val="00EE0719"/>
    <w:rsid w:val="00EE0E80"/>
    <w:rsid w:val="00EE4EF3"/>
    <w:rsid w:val="00EE54A6"/>
    <w:rsid w:val="00EE613F"/>
    <w:rsid w:val="00EE7295"/>
    <w:rsid w:val="00EE7869"/>
    <w:rsid w:val="00EF054A"/>
    <w:rsid w:val="00EF301D"/>
    <w:rsid w:val="00EF3235"/>
    <w:rsid w:val="00EF77A9"/>
    <w:rsid w:val="00EF7E72"/>
    <w:rsid w:val="00F06D37"/>
    <w:rsid w:val="00F07B9D"/>
    <w:rsid w:val="00F11586"/>
    <w:rsid w:val="00F1183B"/>
    <w:rsid w:val="00F11C9F"/>
    <w:rsid w:val="00F12263"/>
    <w:rsid w:val="00F13FB3"/>
    <w:rsid w:val="00F1409D"/>
    <w:rsid w:val="00F14214"/>
    <w:rsid w:val="00F157A9"/>
    <w:rsid w:val="00F217B8"/>
    <w:rsid w:val="00F25BB6"/>
    <w:rsid w:val="00F26B7E"/>
    <w:rsid w:val="00F26DA7"/>
    <w:rsid w:val="00F27A3B"/>
    <w:rsid w:val="00F313A6"/>
    <w:rsid w:val="00F33817"/>
    <w:rsid w:val="00F34B7B"/>
    <w:rsid w:val="00F355E8"/>
    <w:rsid w:val="00F420D5"/>
    <w:rsid w:val="00F451EA"/>
    <w:rsid w:val="00F45447"/>
    <w:rsid w:val="00F456C6"/>
    <w:rsid w:val="00F4577B"/>
    <w:rsid w:val="00F462C2"/>
    <w:rsid w:val="00F46496"/>
    <w:rsid w:val="00F474D0"/>
    <w:rsid w:val="00F50179"/>
    <w:rsid w:val="00F515EE"/>
    <w:rsid w:val="00F5212F"/>
    <w:rsid w:val="00F56511"/>
    <w:rsid w:val="00F576BB"/>
    <w:rsid w:val="00F61040"/>
    <w:rsid w:val="00F6194E"/>
    <w:rsid w:val="00F623AC"/>
    <w:rsid w:val="00F6412A"/>
    <w:rsid w:val="00F64EF0"/>
    <w:rsid w:val="00F6511D"/>
    <w:rsid w:val="00F65893"/>
    <w:rsid w:val="00F66A4A"/>
    <w:rsid w:val="00F67FB1"/>
    <w:rsid w:val="00F71E22"/>
    <w:rsid w:val="00F72142"/>
    <w:rsid w:val="00F72AE7"/>
    <w:rsid w:val="00F767D8"/>
    <w:rsid w:val="00F81141"/>
    <w:rsid w:val="00F833BA"/>
    <w:rsid w:val="00F841A4"/>
    <w:rsid w:val="00F84FD0"/>
    <w:rsid w:val="00F859A8"/>
    <w:rsid w:val="00F86D87"/>
    <w:rsid w:val="00F901D4"/>
    <w:rsid w:val="00F9108B"/>
    <w:rsid w:val="00F91349"/>
    <w:rsid w:val="00F9337A"/>
    <w:rsid w:val="00F93A8A"/>
    <w:rsid w:val="00F95248"/>
    <w:rsid w:val="00F956A9"/>
    <w:rsid w:val="00F963ED"/>
    <w:rsid w:val="00F966CF"/>
    <w:rsid w:val="00F969B3"/>
    <w:rsid w:val="00F96CAE"/>
    <w:rsid w:val="00F97C99"/>
    <w:rsid w:val="00FA20A2"/>
    <w:rsid w:val="00FA4DAC"/>
    <w:rsid w:val="00FA662D"/>
    <w:rsid w:val="00FA73B1"/>
    <w:rsid w:val="00FA779A"/>
    <w:rsid w:val="00FB0CB9"/>
    <w:rsid w:val="00FB203C"/>
    <w:rsid w:val="00FB231D"/>
    <w:rsid w:val="00FB3FC8"/>
    <w:rsid w:val="00FB45F1"/>
    <w:rsid w:val="00FB4A72"/>
    <w:rsid w:val="00FB54E8"/>
    <w:rsid w:val="00FB7054"/>
    <w:rsid w:val="00FC17B7"/>
    <w:rsid w:val="00FC2CB7"/>
    <w:rsid w:val="00FC4090"/>
    <w:rsid w:val="00FC55B4"/>
    <w:rsid w:val="00FD00E6"/>
    <w:rsid w:val="00FD09A1"/>
    <w:rsid w:val="00FD2422"/>
    <w:rsid w:val="00FD2A7C"/>
    <w:rsid w:val="00FD4049"/>
    <w:rsid w:val="00FD59EB"/>
    <w:rsid w:val="00FD7299"/>
    <w:rsid w:val="00FE075F"/>
    <w:rsid w:val="00FE1546"/>
    <w:rsid w:val="00FE1FBE"/>
    <w:rsid w:val="00FE3901"/>
    <w:rsid w:val="00FE39D3"/>
    <w:rsid w:val="00FE4BCE"/>
    <w:rsid w:val="00FE54AE"/>
    <w:rsid w:val="00FE576A"/>
    <w:rsid w:val="00FE73D6"/>
    <w:rsid w:val="00FE7660"/>
    <w:rsid w:val="00FE7992"/>
    <w:rsid w:val="00FE7E79"/>
    <w:rsid w:val="00FF06E9"/>
    <w:rsid w:val="00FF3E7D"/>
    <w:rsid w:val="00FF5B99"/>
    <w:rsid w:val="00FF730C"/>
    <w:rsid w:val="00FF73F4"/>
    <w:rsid w:val="00FF7CE4"/>
    <w:rsid w:val="00FF7E39"/>
    <w:rsid w:val="02212421"/>
    <w:rsid w:val="068943A4"/>
    <w:rsid w:val="22C52D9C"/>
    <w:rsid w:val="267B1590"/>
    <w:rsid w:val="3DA30338"/>
    <w:rsid w:val="43F7289E"/>
    <w:rsid w:val="4A4B7A0A"/>
    <w:rsid w:val="51B2510E"/>
    <w:rsid w:val="52A564FA"/>
    <w:rsid w:val="57083B2A"/>
    <w:rsid w:val="59DE3457"/>
    <w:rsid w:val="5F5B020C"/>
    <w:rsid w:val="61225AA9"/>
    <w:rsid w:val="62DB2A06"/>
    <w:rsid w:val="6AAB0D07"/>
    <w:rsid w:val="6C83652F"/>
    <w:rsid w:val="6F7E20AF"/>
    <w:rsid w:val="71C50F0C"/>
    <w:rsid w:val="738603D7"/>
    <w:rsid w:val="74202408"/>
    <w:rsid w:val="78693703"/>
    <w:rsid w:val="7CFC1437"/>
    <w:rsid w:val="7D2578C8"/>
    <w:rsid w:val="7F062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5">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9"/>
    <w:qFormat/>
    <w:uiPriority w:val="0"/>
    <w:pPr>
      <w:keepNext/>
      <w:keepLines/>
      <w:spacing w:before="260" w:after="260" w:line="416" w:lineRule="auto"/>
      <w:outlineLvl w:val="2"/>
    </w:pPr>
    <w:rPr>
      <w:b/>
      <w:bCs/>
      <w:sz w:val="32"/>
      <w:szCs w:val="32"/>
    </w:rPr>
  </w:style>
  <w:style w:type="paragraph" w:styleId="8">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10">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11">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2">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3">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pPr>
  </w:style>
  <w:style w:type="paragraph" w:styleId="14">
    <w:name w:val="toc 7"/>
    <w:basedOn w:val="1"/>
    <w:next w:val="1"/>
    <w:unhideWhenUsed/>
    <w:qFormat/>
    <w:uiPriority w:val="39"/>
    <w:pPr>
      <w:tabs>
        <w:tab w:val="right" w:leader="dot" w:pos="9344"/>
      </w:tabs>
      <w:spacing w:line="300" w:lineRule="exact"/>
      <w:ind w:left="1259"/>
    </w:pPr>
    <w:rPr>
      <w:rFonts w:ascii="宋体"/>
    </w:rPr>
  </w:style>
  <w:style w:type="paragraph" w:styleId="15">
    <w:name w:val="Document Map"/>
    <w:basedOn w:val="1"/>
    <w:link w:val="233"/>
    <w:semiHidden/>
    <w:unhideWhenUsed/>
    <w:qFormat/>
    <w:uiPriority w:val="99"/>
    <w:rPr>
      <w:rFonts w:ascii="宋体"/>
      <w:sz w:val="18"/>
      <w:szCs w:val="18"/>
    </w:rPr>
  </w:style>
  <w:style w:type="paragraph" w:styleId="16">
    <w:name w:val="Body Text"/>
    <w:basedOn w:val="1"/>
    <w:link w:val="89"/>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Balloon Text"/>
    <w:basedOn w:val="1"/>
    <w:link w:val="48"/>
    <w:semiHidden/>
    <w:unhideWhenUsed/>
    <w:qFormat/>
    <w:uiPriority w:val="99"/>
    <w:rPr>
      <w:sz w:val="18"/>
      <w:szCs w:val="18"/>
    </w:rPr>
  </w:style>
  <w:style w:type="paragraph" w:styleId="20">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6"/>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basedOn w:val="31"/>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5"/>
    <w:qFormat/>
    <w:uiPriority w:val="0"/>
    <w:rPr>
      <w:rFonts w:ascii="Times New Roman" w:hAnsi="Times New Roman" w:eastAsia="宋体" w:cs="Times New Roman"/>
      <w:b/>
      <w:bCs/>
      <w:kern w:val="44"/>
      <w:sz w:val="44"/>
      <w:szCs w:val="44"/>
    </w:rPr>
  </w:style>
  <w:style w:type="character" w:customStyle="1" w:styleId="38">
    <w:name w:val="标题 2 字符"/>
    <w:link w:val="6"/>
    <w:qFormat/>
    <w:uiPriority w:val="0"/>
    <w:rPr>
      <w:rFonts w:ascii="Arial" w:hAnsi="Arial" w:eastAsia="黑体" w:cs="Times New Roman"/>
      <w:b/>
      <w:bCs/>
      <w:sz w:val="32"/>
      <w:szCs w:val="32"/>
    </w:rPr>
  </w:style>
  <w:style w:type="character" w:customStyle="1" w:styleId="39">
    <w:name w:val="标题 3 字符"/>
    <w:link w:val="7"/>
    <w:qFormat/>
    <w:uiPriority w:val="0"/>
    <w:rPr>
      <w:rFonts w:ascii="Times New Roman" w:hAnsi="Times New Roman" w:eastAsia="宋体" w:cs="Times New Roman"/>
      <w:b/>
      <w:bCs/>
      <w:sz w:val="32"/>
      <w:szCs w:val="32"/>
    </w:rPr>
  </w:style>
  <w:style w:type="character" w:customStyle="1" w:styleId="40">
    <w:name w:val="标题 4 字符"/>
    <w:link w:val="8"/>
    <w:qFormat/>
    <w:uiPriority w:val="0"/>
    <w:rPr>
      <w:rFonts w:ascii="Arial" w:hAnsi="Arial" w:eastAsia="黑体" w:cs="Times New Roman"/>
      <w:b/>
      <w:bCs/>
      <w:sz w:val="28"/>
      <w:szCs w:val="28"/>
    </w:rPr>
  </w:style>
  <w:style w:type="character" w:customStyle="1" w:styleId="41">
    <w:name w:val="标题 5 字符"/>
    <w:link w:val="9"/>
    <w:qFormat/>
    <w:uiPriority w:val="0"/>
    <w:rPr>
      <w:rFonts w:ascii="Times New Roman" w:hAnsi="Times New Roman" w:eastAsia="宋体" w:cs="Times New Roman"/>
      <w:b/>
      <w:bCs/>
      <w:sz w:val="28"/>
      <w:szCs w:val="28"/>
    </w:rPr>
  </w:style>
  <w:style w:type="character" w:customStyle="1" w:styleId="42">
    <w:name w:val="标题 6 字符"/>
    <w:link w:val="10"/>
    <w:qFormat/>
    <w:uiPriority w:val="0"/>
    <w:rPr>
      <w:rFonts w:ascii="Arial" w:hAnsi="Arial" w:eastAsia="黑体" w:cs="Times New Roman"/>
      <w:b/>
      <w:bCs/>
      <w:sz w:val="24"/>
      <w:szCs w:val="24"/>
    </w:rPr>
  </w:style>
  <w:style w:type="character" w:customStyle="1" w:styleId="43">
    <w:name w:val="标题 7 字符"/>
    <w:link w:val="11"/>
    <w:qFormat/>
    <w:uiPriority w:val="0"/>
    <w:rPr>
      <w:rFonts w:ascii="Times New Roman" w:hAnsi="Times New Roman" w:eastAsia="宋体" w:cs="Times New Roman"/>
      <w:b/>
      <w:bCs/>
      <w:sz w:val="24"/>
      <w:szCs w:val="24"/>
    </w:rPr>
  </w:style>
  <w:style w:type="character" w:customStyle="1" w:styleId="44">
    <w:name w:val="标题 8 字符"/>
    <w:link w:val="12"/>
    <w:qFormat/>
    <w:uiPriority w:val="0"/>
    <w:rPr>
      <w:rFonts w:ascii="Arial" w:hAnsi="Arial" w:eastAsia="黑体" w:cs="Times New Roman"/>
      <w:sz w:val="24"/>
      <w:szCs w:val="24"/>
    </w:rPr>
  </w:style>
  <w:style w:type="character" w:customStyle="1" w:styleId="45">
    <w:name w:val="标题 9 字符"/>
    <w:link w:val="13"/>
    <w:qFormat/>
    <w:uiPriority w:val="0"/>
    <w:rPr>
      <w:rFonts w:ascii="Arial" w:hAnsi="Arial" w:eastAsia="黑体" w:cs="Times New Roman"/>
      <w:szCs w:val="21"/>
    </w:rPr>
  </w:style>
  <w:style w:type="character" w:customStyle="1" w:styleId="46">
    <w:name w:val="页眉 字符"/>
    <w:link w:val="21"/>
    <w:qFormat/>
    <w:uiPriority w:val="99"/>
    <w:rPr>
      <w:rFonts w:ascii="Times New Roman" w:hAnsi="Times New Roman" w:eastAsia="宋体" w:cs="Times New Roman"/>
      <w:sz w:val="18"/>
      <w:szCs w:val="18"/>
    </w:rPr>
  </w:style>
  <w:style w:type="character" w:customStyle="1" w:styleId="47">
    <w:name w:val="页脚 字符"/>
    <w:link w:val="20"/>
    <w:qFormat/>
    <w:uiPriority w:val="99"/>
    <w:rPr>
      <w:rFonts w:ascii="宋体" w:hAnsi="Times New Roman" w:eastAsia="宋体" w:cs="Times New Roman"/>
      <w:sz w:val="18"/>
      <w:szCs w:val="18"/>
    </w:rPr>
  </w:style>
  <w:style w:type="character" w:customStyle="1" w:styleId="48">
    <w:name w:val="批注框文本 字符"/>
    <w:link w:val="19"/>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8"/>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6"/>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4"/>
    <w:semiHidden/>
    <w:qFormat/>
    <w:uiPriority w:val="0"/>
    <w:rPr>
      <w:rFonts w:ascii="宋体" w:hAnsi="Times New Roman" w:eastAsia="宋体" w:cs="Times New Roman"/>
      <w:sz w:val="18"/>
      <w:szCs w:val="18"/>
    </w:rPr>
  </w:style>
  <w:style w:type="paragraph" w:customStyle="1" w:styleId="103">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basedOn w:val="125"/>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tabs>
        <w:tab w:val="clear" w:pos="851"/>
      </w:tabs>
      <w:ind w:left="0" w:firstLine="0"/>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character" w:customStyle="1" w:styleId="233">
    <w:name w:val="文档结构图 字符"/>
    <w:basedOn w:val="31"/>
    <w:link w:val="15"/>
    <w:semiHidden/>
    <w:qFormat/>
    <w:uiPriority w:val="99"/>
    <w:rPr>
      <w:rFonts w:ascii="宋体"/>
      <w:kern w:val="2"/>
      <w:sz w:val="18"/>
      <w:szCs w:val="18"/>
    </w:rPr>
  </w:style>
  <w:style w:type="paragraph" w:customStyle="1" w:styleId="234">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hAnsi="Times New Roman"/>
      <w:sz w:val="21"/>
    </w:rPr>
  </w:style>
  <w:style w:type="paragraph" w:customStyle="1" w:styleId="237">
    <w:name w:val="一级无"/>
    <w:basedOn w:val="238"/>
    <w:qFormat/>
    <w:uiPriority w:val="0"/>
    <w:pPr>
      <w:widowControl/>
      <w:tabs>
        <w:tab w:val="left" w:pos="840"/>
      </w:tabs>
      <w:adjustRightInd/>
      <w:spacing w:line="240" w:lineRule="auto"/>
      <w:ind w:left="840" w:hanging="420"/>
      <w:jc w:val="left"/>
      <w:outlineLvl w:val="2"/>
    </w:pPr>
    <w:rPr>
      <w:rFonts w:ascii="宋体" w:hAnsi="Times New Roman"/>
      <w:kern w:val="0"/>
    </w:rPr>
  </w:style>
  <w:style w:type="paragraph" w:customStyle="1" w:styleId="238">
    <w:name w:val="一级条标题"/>
    <w:next w:val="235"/>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styleId="239">
    <w:name w:val="List Paragraph"/>
    <w:basedOn w:val="1"/>
    <w:qFormat/>
    <w:uiPriority w:val="34"/>
    <w:pPr>
      <w:ind w:firstLine="420" w:firstLineChars="200"/>
    </w:pPr>
  </w:style>
  <w:style w:type="paragraph" w:customStyle="1" w:styleId="240">
    <w:name w:val="Table Paragraph"/>
    <w:basedOn w:val="1"/>
    <w:qFormat/>
    <w:uiPriority w:val="1"/>
    <w:pPr>
      <w:ind w:left="57"/>
    </w:pPr>
    <w:rPr>
      <w:rFonts w:ascii="宋体" w:hAnsi="宋体" w:cs="宋体"/>
      <w:lang w:val="zh-CN" w:bidi="zh-CN"/>
    </w:rPr>
  </w:style>
  <w:style w:type="paragraph" w:customStyle="1" w:styleId="241">
    <w:name w:val="Char Char Char Char Char Char Char Char Char Char Char Char Char Char Char Char Char Char Char Char Char Char Char Char Char Char Char Char Char Char Char Char Char2"/>
    <w:basedOn w:val="1"/>
    <w:qFormat/>
    <w:uiPriority w:val="0"/>
    <w:pPr>
      <w:widowControl/>
      <w:adjustRightInd/>
      <w:spacing w:after="160" w:line="240" w:lineRule="exact"/>
      <w:jc w:val="left"/>
    </w:pPr>
    <w:rPr>
      <w:rFonts w:ascii="Verdana" w:hAnsi="Verdana" w:eastAsia="仿宋_GB2312" w:cs="Verdana"/>
      <w:kern w:val="0"/>
      <w:sz w:val="24"/>
      <w:szCs w:val="24"/>
      <w:lang w:eastAsia="en-US"/>
    </w:rPr>
  </w:style>
  <w:style w:type="paragraph" w:customStyle="1" w:styleId="242">
    <w:name w:val="章标题"/>
    <w:next w:val="235"/>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3">
    <w:name w:val="目次、标准名称标题"/>
    <w:basedOn w:val="1"/>
    <w:next w:val="235"/>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B72E4006644745AD9D86BC89A540AB"/>
        <w:style w:val=""/>
        <w:category>
          <w:name w:val="常规"/>
          <w:gallery w:val="placeholder"/>
        </w:category>
        <w:types>
          <w:type w:val="bbPlcHdr"/>
        </w:types>
        <w:behaviors>
          <w:behavior w:val="content"/>
        </w:behaviors>
        <w:description w:val=""/>
        <w:guid w:val="{DC27739C-0602-48BF-AD86-27093268355E}"/>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3E"/>
    <w:rsid w:val="00001983"/>
    <w:rsid w:val="0009598E"/>
    <w:rsid w:val="000F1997"/>
    <w:rsid w:val="001969A4"/>
    <w:rsid w:val="002460AE"/>
    <w:rsid w:val="00254B4B"/>
    <w:rsid w:val="0031418F"/>
    <w:rsid w:val="003B2436"/>
    <w:rsid w:val="003E3227"/>
    <w:rsid w:val="003F08D1"/>
    <w:rsid w:val="0049673B"/>
    <w:rsid w:val="004A5354"/>
    <w:rsid w:val="004C42CE"/>
    <w:rsid w:val="00512690"/>
    <w:rsid w:val="005B2C15"/>
    <w:rsid w:val="005E2BA4"/>
    <w:rsid w:val="00613E59"/>
    <w:rsid w:val="00627B86"/>
    <w:rsid w:val="00672036"/>
    <w:rsid w:val="00697EB6"/>
    <w:rsid w:val="00712FDD"/>
    <w:rsid w:val="00740A6C"/>
    <w:rsid w:val="00796CE7"/>
    <w:rsid w:val="007D30DC"/>
    <w:rsid w:val="00841441"/>
    <w:rsid w:val="00886EC7"/>
    <w:rsid w:val="008D595F"/>
    <w:rsid w:val="008F736F"/>
    <w:rsid w:val="00952CBF"/>
    <w:rsid w:val="00964A3C"/>
    <w:rsid w:val="009C38B8"/>
    <w:rsid w:val="009E1CC2"/>
    <w:rsid w:val="00A07215"/>
    <w:rsid w:val="00A25E62"/>
    <w:rsid w:val="00A47DA1"/>
    <w:rsid w:val="00AA3ECD"/>
    <w:rsid w:val="00AC57E0"/>
    <w:rsid w:val="00B1763E"/>
    <w:rsid w:val="00B2248A"/>
    <w:rsid w:val="00B7496E"/>
    <w:rsid w:val="00BA7243"/>
    <w:rsid w:val="00E728CA"/>
    <w:rsid w:val="00EE5AB1"/>
    <w:rsid w:val="00F63A75"/>
    <w:rsid w:val="00FD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FB72E4006644745AD9D86BC89A540A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B3DEC-F1A7-453F-BBDE-1AAD74521DC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1277</Words>
  <Characters>7285</Characters>
  <Lines>60</Lines>
  <Paragraphs>17</Paragraphs>
  <TotalTime>1</TotalTime>
  <ScaleCrop>false</ScaleCrop>
  <LinksUpToDate>false</LinksUpToDate>
  <CharactersWithSpaces>8545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2021-09-26T06:57:00Z</dcterms:created>
  <dc:creator>Microsoft</dc:creator>
  <dc:description>&lt;config cover="true" show_menu="true" version="1.0.0" doctype="SDKXY"&gt;_x000d_
&lt;/config&gt;</dc:description>
  <cp:lastModifiedBy>Administrator</cp:lastModifiedBy>
  <cp:lastPrinted>2021-09-26T01:07:00Z</cp:lastPrinted>
  <dcterms:modified xsi:type="dcterms:W3CDTF">2021-10-12T02:09:23Z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CE73D5FECEFE48479B2FA63F1EDE16F0</vt:lpwstr>
  </property>
  <property fmtid="{D5CDD505-2E9C-101B-9397-08002B2CF9AE}" pid="16" name="KSOSaveFontToCloudKey">
    <vt:lpwstr>585821722_btnclosed</vt:lpwstr>
  </property>
</Properties>
</file>