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M</w:t>
            </w:r>
            <w:r>
              <w:rPr>
                <w:rFonts w:hint="eastAsia" w:ascii="黑体" w:hAnsi="黑体" w:eastAsia="黑体"/>
                <w:sz w:val="21"/>
                <w:szCs w:val="21"/>
              </w:rPr>
              <w:t xml:space="preserve"> 21</w:t>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23</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黑龙江省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23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2021</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黑龙江工业互联网标识解析（综合型）</w:t>
      </w:r>
      <w:r>
        <w:cr/>
      </w:r>
      <w:r>
        <w:t>二级节点运营规范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Heilongjiang industrial Internet (comprehensive)</w:t>
      </w:r>
    </w:p>
    <w:p>
      <w:pPr>
        <w:pStyle w:val="125"/>
        <w:framePr w:w="9639" w:h="6974" w:hRule="exact" w:wrap="around" w:vAnchor="page" w:hAnchor="page" w:x="1419" w:y="6408" w:anchorLock="1"/>
        <w:textAlignment w:val="bottom"/>
        <w:rPr>
          <w:rFonts w:eastAsia="黑体"/>
          <w:szCs w:val="28"/>
        </w:rPr>
      </w:pPr>
      <w:r>
        <w:rPr>
          <w:rFonts w:eastAsia="黑体"/>
          <w:szCs w:val="28"/>
        </w:rPr>
        <w:t>Identification analysis of Secondary node operation specification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rFonts w:hint="eastAsia"/>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单位：黑龙江省工业信息化发展中心（黑龙江省电子技术研究所）</w:t>
      </w:r>
    </w:p>
    <w:p>
      <w:pPr>
        <w:pStyle w:val="125"/>
        <w:framePr w:w="9639" w:h="6974" w:hRule="exact" w:wrap="around" w:vAnchor="page" w:hAnchor="page" w:x="1419" w:y="6408" w:anchorLock="1"/>
        <w:pBdr>
          <w:top w:val="none" w:sz="0" w:space="0"/>
          <w:left w:val="none" w:sz="0" w:space="0"/>
          <w:bottom w:val="none" w:sz="0" w:space="0"/>
          <w:right w:val="none" w:sz="0" w:space="0"/>
        </w:pBdr>
        <w:spacing w:before="180" w:line="240" w:lineRule="atLeast"/>
        <w:textAlignment w:val="bottom"/>
        <w:rPr>
          <w:rFonts w:hint="eastAsia"/>
          <w:sz w:val="21"/>
          <w:szCs w:val="28"/>
        </w:rPr>
      </w:pPr>
      <w:r>
        <w:rPr>
          <w:rFonts w:hint="eastAsia"/>
          <w:sz w:val="21"/>
          <w:szCs w:val="28"/>
        </w:rPr>
        <w:t>联系人：李辉</w:t>
      </w:r>
    </w:p>
    <w:p>
      <w:pPr>
        <w:pStyle w:val="125"/>
        <w:framePr w:w="9639" w:h="6974" w:hRule="exact" w:wrap="around" w:vAnchor="page" w:hAnchor="page" w:x="1419" w:y="6408" w:anchorLock="1"/>
        <w:spacing w:before="180" w:line="240" w:lineRule="atLeast"/>
        <w:textAlignment w:val="bottom"/>
        <w:rPr>
          <w:sz w:val="21"/>
          <w:szCs w:val="28"/>
        </w:rPr>
      </w:pPr>
      <w:r>
        <w:rPr>
          <w:rFonts w:hint="eastAsia"/>
          <w:sz w:val="21"/>
          <w:szCs w:val="28"/>
        </w:rPr>
        <w:t>联系方式：18846766359</w:t>
      </w:r>
      <w:r>
        <w:rPr>
          <w:rFonts w:hint="eastAsia"/>
          <w:sz w:val="21"/>
          <w:szCs w:val="28"/>
          <w:lang w:val="en-US" w:eastAsia="zh-CN"/>
        </w:rPr>
        <w:t xml:space="preserve">  </w:t>
      </w:r>
      <w:r>
        <w:rPr>
          <w:rFonts w:hint="eastAsia"/>
          <w:sz w:val="21"/>
          <w:szCs w:val="28"/>
        </w:rPr>
        <w:t>邮箱：453996682@qq.com</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黑龙江省市场监督管理局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"_Toc83542204" </w:instrText>
      </w:r>
      <w:r>
        <w:fldChar w:fldCharType="separate"/>
      </w:r>
      <w:r>
        <w:rPr>
          <w:rStyle w:val="32"/>
          <w:rFonts w:hint="eastAsia"/>
        </w:rPr>
        <w:t>前言</w:t>
      </w:r>
      <w:r>
        <w:tab/>
      </w:r>
      <w:r>
        <w:fldChar w:fldCharType="begin"/>
      </w:r>
      <w:r>
        <w:instrText xml:space="preserve"> PAGEREF _Toc83542204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"_Toc83542205" </w:instrText>
      </w:r>
      <w:r>
        <w:fldChar w:fldCharType="separate"/>
      </w:r>
      <w:r>
        <w:rPr>
          <w:rStyle w:val="32"/>
        </w:rPr>
        <w:t xml:space="preserve">1 </w:t>
      </w:r>
      <w:r>
        <w:rPr>
          <w:rStyle w:val="32"/>
          <w:rFonts w:hint="eastAsia"/>
        </w:rPr>
        <w:t xml:space="preserve"> 范围</w:t>
      </w:r>
      <w:r>
        <w:tab/>
      </w:r>
      <w:r>
        <w:fldChar w:fldCharType="begin"/>
      </w:r>
      <w:r>
        <w:instrText xml:space="preserve"> PAGEREF _Toc83542205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"_Toc83542206"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_Toc83542206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"_Toc83542207"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_Toc83542207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"_Toc83542208" </w:instrText>
      </w:r>
      <w:r>
        <w:fldChar w:fldCharType="separate"/>
      </w:r>
      <w:r>
        <w:rPr>
          <w:rStyle w:val="32"/>
        </w:rPr>
        <w:t xml:space="preserve">4 </w:t>
      </w:r>
      <w:r>
        <w:rPr>
          <w:rStyle w:val="32"/>
          <w:rFonts w:hint="eastAsia"/>
        </w:rPr>
        <w:t xml:space="preserve"> 基本要求</w:t>
      </w:r>
      <w:r>
        <w:tab/>
      </w:r>
      <w:r>
        <w:fldChar w:fldCharType="begin"/>
      </w:r>
      <w:r>
        <w:instrText xml:space="preserve"> PAGEREF _Toc83542208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"_Toc83542209" </w:instrText>
      </w:r>
      <w:r>
        <w:fldChar w:fldCharType="separate"/>
      </w:r>
      <w:r>
        <w:rPr>
          <w:rStyle w:val="32"/>
        </w:rPr>
        <w:t xml:space="preserve">5 </w:t>
      </w:r>
      <w:r>
        <w:rPr>
          <w:rStyle w:val="32"/>
          <w:rFonts w:hint="eastAsia"/>
        </w:rPr>
        <w:t xml:space="preserve"> 运营人员</w:t>
      </w:r>
      <w:r>
        <w:tab/>
      </w:r>
      <w:r>
        <w:fldChar w:fldCharType="begin"/>
      </w:r>
      <w:r>
        <w:instrText xml:space="preserve"> PAGEREF _Toc83542209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"_Toc83542210" </w:instrText>
      </w:r>
      <w:r>
        <w:fldChar w:fldCharType="separate"/>
      </w:r>
      <w:r>
        <w:rPr>
          <w:rStyle w:val="32"/>
          <w:rFonts w:hAnsi="黑体" w:cs="宋体"/>
        </w:rPr>
        <w:t xml:space="preserve">6 </w:t>
      </w:r>
      <w:r>
        <w:rPr>
          <w:rStyle w:val="32"/>
          <w:rFonts w:hint="eastAsia"/>
        </w:rPr>
        <w:t xml:space="preserve"> 基础设施运营</w:t>
      </w:r>
      <w:r>
        <w:tab/>
      </w:r>
      <w:r>
        <w:fldChar w:fldCharType="begin"/>
      </w:r>
      <w:r>
        <w:instrText xml:space="preserve"> PAGEREF _Toc83542210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"_Toc83542211" </w:instrText>
      </w:r>
      <w:r>
        <w:fldChar w:fldCharType="separate"/>
      </w:r>
      <w:r>
        <w:rPr>
          <w:rStyle w:val="32"/>
          <w:rFonts w:hAnsi="黑体" w:cs="宋体"/>
        </w:rPr>
        <w:t xml:space="preserve">7 </w:t>
      </w:r>
      <w:r>
        <w:rPr>
          <w:rStyle w:val="32"/>
          <w:rFonts w:hint="eastAsia"/>
        </w:rPr>
        <w:t xml:space="preserve"> 安全运营</w:t>
      </w:r>
      <w:r>
        <w:tab/>
      </w:r>
      <w:r>
        <w:fldChar w:fldCharType="begin"/>
      </w:r>
      <w:r>
        <w:instrText xml:space="preserve"> PAGEREF _Toc83542211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"_Toc83542212" </w:instrText>
      </w:r>
      <w:r>
        <w:fldChar w:fldCharType="separate"/>
      </w:r>
      <w:r>
        <w:rPr>
          <w:rStyle w:val="32"/>
        </w:rPr>
        <w:t xml:space="preserve">8 </w:t>
      </w:r>
      <w:r>
        <w:rPr>
          <w:rStyle w:val="32"/>
          <w:rFonts w:hint="eastAsia"/>
        </w:rPr>
        <w:t xml:space="preserve"> 运营评价</w:t>
      </w:r>
      <w:r>
        <w:tab/>
      </w:r>
      <w:r>
        <w:fldChar w:fldCharType="begin"/>
      </w:r>
      <w:r>
        <w:instrText xml:space="preserve"> PAGEREF _Toc83542212 \h </w:instrText>
      </w:r>
      <w:r>
        <w:fldChar w:fldCharType="separate"/>
      </w:r>
      <w:r>
        <w:t>4</w:t>
      </w:r>
      <w:r>
        <w:fldChar w:fldCharType="end"/>
      </w:r>
      <w:r>
        <w:fldChar w:fldCharType="end"/>
      </w:r>
    </w:p>
    <w:p>
      <w:pPr>
        <w:pStyle w:val="91"/>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83542204"/>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w:t>
      </w:r>
      <w:r>
        <w:rPr>
          <w:rFonts w:hint="eastAsia"/>
          <w:lang w:eastAsia="zh-CN"/>
        </w:rPr>
        <w:t>黑龙江省工业和信息化厅</w:t>
      </w:r>
      <w:bookmarkStart w:id="52" w:name="_GoBack"/>
      <w:bookmarkEnd w:id="52"/>
      <w:r>
        <w:rPr>
          <w:rFonts w:hint="eastAsia"/>
        </w:rPr>
        <w:t>提出并归口。</w:t>
      </w:r>
    </w:p>
    <w:p>
      <w:pPr>
        <w:pStyle w:val="56"/>
        <w:ind w:firstLine="420"/>
      </w:pPr>
      <w:r>
        <w:rPr>
          <w:rFonts w:hint="eastAsia"/>
        </w:rPr>
        <w:t>本文件由XXXXX组织实施。</w:t>
      </w:r>
    </w:p>
    <w:p>
      <w:pPr>
        <w:pStyle w:val="56"/>
        <w:ind w:firstLine="420"/>
        <w:rPr>
          <w:rFonts w:hint="eastAsia"/>
        </w:rPr>
      </w:pPr>
      <w:r>
        <w:rPr>
          <w:rFonts w:hint="eastAsia"/>
          <w:lang w:eastAsia="zh-CN"/>
        </w:rPr>
        <w:t>本文件</w:t>
      </w:r>
      <w:r>
        <w:rPr>
          <w:rFonts w:hint="eastAsia"/>
        </w:rPr>
        <w:t>起草单位：黑龙江省工业信息化发展中心（黑龙江省电子技术研究所）、黑龙江省标准化研究院、黑龙江然也科技有限公司、黑龙江省创新推广工业互联网发展中心有限公司。</w:t>
      </w:r>
    </w:p>
    <w:p>
      <w:pPr>
        <w:pStyle w:val="56"/>
        <w:ind w:firstLine="420"/>
        <w:rPr>
          <w:rFonts w:hint="eastAsia"/>
        </w:rPr>
      </w:pPr>
      <w:r>
        <w:rPr>
          <w:rFonts w:hint="eastAsia"/>
          <w:lang w:eastAsia="zh-CN"/>
        </w:rPr>
        <w:t>本文件主要</w:t>
      </w:r>
      <w:r>
        <w:rPr>
          <w:rFonts w:hint="eastAsia"/>
        </w:rPr>
        <w:t>起草人：郑显生、罗松、董力、王淼庚、陈要武、施晓林、车涵、李辉、王丹丹、李宝才、张敬、周文华、王军、朱颖滨、杨绍杰、郭宇亮、左晓英、姜欣、刘鹏林、曲鹏飞、刘昊。</w:t>
      </w:r>
    </w:p>
    <w:p>
      <w:pPr>
        <w:pStyle w:val="56"/>
        <w:ind w:firstLine="420"/>
      </w:pPr>
      <w:r>
        <w:rPr>
          <w:rFonts w:hint="eastAsia"/>
        </w:rPr>
        <w:t>本文件为首次发布。</w:t>
      </w:r>
    </w:p>
    <w:p>
      <w:pPr>
        <w:pStyle w:val="56"/>
        <w:ind w:firstLine="420"/>
      </w:pPr>
    </w:p>
    <w:p>
      <w:pPr>
        <w:pStyle w:val="56"/>
        <w:ind w:firstLine="420"/>
      </w:pPr>
    </w:p>
    <w:p>
      <w:pPr>
        <w:pStyle w:val="56"/>
        <w:ind w:firstLine="420"/>
        <w:sectPr>
          <w:pgSz w:w="11906" w:h="16838"/>
          <w:pgMar w:top="2410"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216FEA57F2E24625B98BEDE5480B0FCF"/>
        </w:placeholder>
      </w:sdtPr>
      <w:sdtContent>
        <w:p>
          <w:pPr>
            <w:pStyle w:val="177"/>
            <w:spacing w:before="3" w:beforeLines="1" w:after="3" w:afterLines="1"/>
          </w:pPr>
          <w:bookmarkStart w:id="25" w:name="NEW_STAND_NAME"/>
          <w:r>
            <w:rPr>
              <w:rFonts w:hint="eastAsia"/>
            </w:rPr>
            <w:t>黑龙江工业互联网标识解析（综合型）</w:t>
          </w:r>
        </w:p>
        <w:p>
          <w:pPr>
            <w:pStyle w:val="177"/>
            <w:spacing w:before="3" w:beforeLines="1" w:after="680"/>
          </w:pPr>
          <w:r>
            <w:rPr>
              <w:rFonts w:hint="eastAsia"/>
            </w:rPr>
            <w:t>二级节点运营规范</w:t>
          </w:r>
        </w:p>
      </w:sdtContent>
    </w:sdt>
    <w:bookmarkEnd w:id="25"/>
    <w:p>
      <w:pPr>
        <w:pStyle w:val="104"/>
        <w:spacing w:before="312" w:after="312"/>
      </w:pPr>
      <w:bookmarkStart w:id="26" w:name="_Toc26718930"/>
      <w:bookmarkStart w:id="27" w:name="_Toc17233325"/>
      <w:bookmarkStart w:id="28" w:name="_Toc24884218"/>
      <w:bookmarkStart w:id="29" w:name="_Toc26986530"/>
      <w:bookmarkStart w:id="30" w:name="_Toc24884211"/>
      <w:bookmarkStart w:id="31" w:name="_Toc83542205"/>
      <w:bookmarkStart w:id="32" w:name="_Toc17233333"/>
      <w:bookmarkStart w:id="33" w:name="_Toc26986771"/>
      <w:bookmarkStart w:id="34" w:name="_Toc26648465"/>
      <w:r>
        <w:rPr>
          <w:rFonts w:hint="eastAsia"/>
        </w:rPr>
        <w:t>范围</w:t>
      </w:r>
      <w:bookmarkEnd w:id="26"/>
      <w:bookmarkEnd w:id="27"/>
      <w:bookmarkEnd w:id="28"/>
      <w:bookmarkEnd w:id="29"/>
      <w:bookmarkEnd w:id="30"/>
      <w:bookmarkEnd w:id="31"/>
      <w:bookmarkEnd w:id="32"/>
      <w:bookmarkEnd w:id="33"/>
      <w:bookmarkEnd w:id="34"/>
    </w:p>
    <w:p>
      <w:pPr>
        <w:pStyle w:val="56"/>
        <w:ind w:firstLine="420"/>
      </w:pPr>
      <w:bookmarkStart w:id="35" w:name="_Toc17233326"/>
      <w:bookmarkStart w:id="36" w:name="_Toc17233334"/>
      <w:bookmarkStart w:id="37" w:name="_Toc24884212"/>
      <w:bookmarkStart w:id="38" w:name="_Toc24884219"/>
      <w:bookmarkStart w:id="39" w:name="_Toc26648466"/>
      <w:r>
        <w:rPr>
          <w:rFonts w:hint="eastAsia"/>
        </w:rPr>
        <w:t>本文件给出了黑龙江工业互联网标识解析（综合型）二级节点运营的相关要求，包括基本要求、运营人员、基础设施运营、安全运营、运营评价等内容。</w:t>
      </w:r>
    </w:p>
    <w:p>
      <w:pPr>
        <w:pStyle w:val="56"/>
        <w:ind w:firstLine="420"/>
      </w:pPr>
      <w:r>
        <w:rPr>
          <w:rFonts w:hint="eastAsia"/>
        </w:rPr>
        <w:t>本文件适用于黑龙江工业互联网标识解析（综合型）二级节点的运营工作。</w:t>
      </w:r>
    </w:p>
    <w:p>
      <w:pPr>
        <w:pStyle w:val="104"/>
        <w:spacing w:before="312" w:after="312"/>
      </w:pPr>
      <w:bookmarkStart w:id="40" w:name="_Toc26718931"/>
      <w:bookmarkStart w:id="41" w:name="_Toc83542206"/>
      <w:bookmarkStart w:id="42" w:name="_Toc26986772"/>
      <w:bookmarkStart w:id="43" w:name="_Toc26986531"/>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0B23AEB3B8444EF89F0888335DD4AD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2887 计算机场地通用规范</w:t>
      </w:r>
    </w:p>
    <w:p>
      <w:pPr>
        <w:pStyle w:val="56"/>
        <w:ind w:firstLine="420"/>
      </w:pPr>
      <w:r>
        <w:rPr>
          <w:rFonts w:hint="eastAsia"/>
        </w:rPr>
        <w:t>GB/T 9361 计算机场地安全要求</w:t>
      </w:r>
    </w:p>
    <w:p>
      <w:pPr>
        <w:pStyle w:val="56"/>
        <w:ind w:firstLine="420"/>
      </w:pPr>
      <w:r>
        <w:rPr>
          <w:rFonts w:hint="eastAsia"/>
        </w:rPr>
        <w:t>中华人民共和国工业和信息化部 工信部信管〔2020〕204号 《工业互联网标识管理办法》</w:t>
      </w:r>
    </w:p>
    <w:p>
      <w:pPr>
        <w:pStyle w:val="56"/>
        <w:ind w:firstLine="420"/>
      </w:pPr>
      <w:r>
        <w:rPr>
          <w:rFonts w:hint="eastAsia"/>
        </w:rPr>
        <w:t>中华人民共和国工业和信息化部 工信部信管〔2020〕197号 《工业互联网创新发展行动计划（2021-2023年）》</w:t>
      </w:r>
    </w:p>
    <w:p>
      <w:pPr>
        <w:pStyle w:val="104"/>
        <w:spacing w:before="312" w:after="312"/>
      </w:pPr>
      <w:bookmarkStart w:id="44" w:name="_Toc83542207"/>
      <w:r>
        <w:rPr>
          <w:rFonts w:hint="eastAsia"/>
          <w:szCs w:val="21"/>
        </w:rPr>
        <w:t>术语和定义</w:t>
      </w:r>
      <w:bookmarkEnd w:id="44"/>
    </w:p>
    <w:sdt>
      <w:sdtPr>
        <w:id w:val="-1909835108"/>
        <w:placeholder>
          <w:docPart w:val="5A7F7DCDED4843439A8E3000F49EEA8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5" w:name="_Toc26986532"/>
          <w:bookmarkEnd w:id="45"/>
          <w:r>
            <w:t>下列术语和定义适用于本文件。</w:t>
          </w:r>
        </w:p>
      </w:sdtContent>
    </w:sdt>
    <w:p>
      <w:pPr>
        <w:pStyle w:val="223"/>
        <w:ind w:left="420" w:hanging="420" w:hangingChars="200"/>
        <w:rPr>
          <w:rFonts w:ascii="黑体" w:hAnsi="黑体" w:eastAsia="黑体" w:cs="宋体"/>
        </w:rPr>
      </w:pPr>
      <w:r>
        <w:rPr>
          <w:rFonts w:ascii="黑体" w:hAnsi="黑体" w:eastAsia="黑体"/>
        </w:rPr>
        <w:br w:type="textWrapping"/>
      </w:r>
      <w:r>
        <w:rPr>
          <w:rFonts w:hint="eastAsia" w:ascii="黑体" w:hAnsi="黑体" w:eastAsia="黑体"/>
        </w:rPr>
        <w:t>工业互联网标识 Industrial Internet identifier</w:t>
      </w:r>
    </w:p>
    <w:p>
      <w:pPr>
        <w:pStyle w:val="230"/>
        <w:rPr>
          <w:rFonts w:hAnsi="Times New Roman" w:cs="Times New Roman"/>
        </w:rPr>
      </w:pPr>
      <w:r>
        <w:rPr>
          <w:rFonts w:hint="eastAsia" w:cs="Times New Roman"/>
        </w:rPr>
        <w:t>工业互联网中使用的用于唯一识别和定位物理对象或数字对象及其关联信息的字符。</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标识解析 Identifier resolution</w:t>
      </w:r>
    </w:p>
    <w:p>
      <w:pPr>
        <w:pStyle w:val="230"/>
        <w:rPr>
          <w:rFonts w:hAnsi="Times New Roman" w:cs="Times New Roman"/>
        </w:rPr>
      </w:pPr>
      <w:r>
        <w:rPr>
          <w:rFonts w:hint="eastAsia" w:cs="Times New Roman"/>
        </w:rPr>
        <w:t>根据标识编码查询目标对象网络位置或者相关信息。</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标识解析二级节点 Secondary-Level node of identification and resolution</w:t>
      </w:r>
    </w:p>
    <w:p>
      <w:pPr>
        <w:pStyle w:val="230"/>
        <w:rPr>
          <w:rFonts w:hAnsi="Times New Roman" w:cs="Times New Roman"/>
        </w:rPr>
      </w:pPr>
      <w:r>
        <w:rPr>
          <w:rFonts w:hint="eastAsia" w:cs="Times New Roman"/>
        </w:rPr>
        <w:t>面向特定行业或者多个行业提供标识服务的公共节点。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标识解析二级节点服务机构 Secondary-Level node of identification and resolution Service organization</w:t>
      </w:r>
    </w:p>
    <w:p>
      <w:pPr>
        <w:pStyle w:val="230"/>
        <w:rPr>
          <w:rFonts w:hAnsi="Times New Roman" w:cs="Times New Roman"/>
        </w:rPr>
      </w:pPr>
      <w:r>
        <w:rPr>
          <w:rFonts w:hint="eastAsia" w:cs="Times New Roman"/>
        </w:rPr>
        <w:t>负责建设和运营二级节点服务器，面向企业或者个人提供标识注册、解析和数据管理等服务的机构。</w:t>
      </w:r>
    </w:p>
    <w:p>
      <w:pPr>
        <w:pStyle w:val="104"/>
        <w:spacing w:before="312" w:after="312"/>
      </w:pPr>
      <w:bookmarkStart w:id="46" w:name="_Toc83542208"/>
      <w:r>
        <w:rPr>
          <w:rFonts w:hint="eastAsia"/>
        </w:rPr>
        <w:t>基本要求</w:t>
      </w:r>
      <w:bookmarkEnd w:id="46"/>
    </w:p>
    <w:p>
      <w:pPr>
        <w:pStyle w:val="105"/>
        <w:spacing w:before="156" w:after="156"/>
      </w:pPr>
      <w:r>
        <w:rPr>
          <w:rFonts w:hint="eastAsia"/>
        </w:rPr>
        <w:t>运营主体要求</w:t>
      </w:r>
    </w:p>
    <w:p>
      <w:pPr>
        <w:pStyle w:val="165"/>
      </w:pPr>
      <w:r>
        <w:rPr>
          <w:rFonts w:hint="eastAsia"/>
        </w:rPr>
        <w:t>标识解析二级节点服务机构应在国家相关法律法规约束下开展运营活动，接受有关部门的监管。</w:t>
      </w:r>
    </w:p>
    <w:p>
      <w:pPr>
        <w:pStyle w:val="165"/>
      </w:pPr>
      <w:r>
        <w:rPr>
          <w:rFonts w:hint="eastAsia"/>
        </w:rPr>
        <w:t>标识解析节点应设在中国管辖的行政区划范围内，责任主体应为依法设立的法人，该法人及其主要出资者、主要经营管理人员应具有良好的信用记录。应具有“互联网域名注册服务机构”许可。</w:t>
      </w:r>
    </w:p>
    <w:p>
      <w:pPr>
        <w:pStyle w:val="165"/>
      </w:pPr>
      <w:r>
        <w:rPr>
          <w:rFonts w:hint="eastAsia"/>
        </w:rPr>
        <w:t>标识解析二级节点服务机构的责任主体应根据相关要求报备运营情况，运营情况包括标识分配量、标识解析量、应用情况、商业模式等内容。具体内容应包括：</w:t>
      </w:r>
    </w:p>
    <w:p>
      <w:pPr>
        <w:pStyle w:val="174"/>
      </w:pPr>
      <w:r>
        <w:rPr>
          <w:rFonts w:hint="eastAsia"/>
        </w:rPr>
        <w:t>标识分配量：二级节点在一年中为接入企业分配的标识数量，按月份形成统计数据；</w:t>
      </w:r>
    </w:p>
    <w:p>
      <w:pPr>
        <w:pStyle w:val="174"/>
      </w:pPr>
      <w:r>
        <w:rPr>
          <w:rFonts w:hint="eastAsia"/>
        </w:rPr>
        <w:t>标识解析量：二级节点在一年中为接入企业提供的标识解析流量，按月份形成统计数据；</w:t>
      </w:r>
    </w:p>
    <w:p>
      <w:pPr>
        <w:pStyle w:val="174"/>
      </w:pPr>
      <w:r>
        <w:rPr>
          <w:rFonts w:hint="eastAsia"/>
        </w:rPr>
        <w:t>应用情况：二级节点应用情况应包含应用的规模、接入设备的数量、应用的成效、新建的应用等内容；</w:t>
      </w:r>
    </w:p>
    <w:p>
      <w:pPr>
        <w:pStyle w:val="174"/>
      </w:pPr>
      <w:r>
        <w:rPr>
          <w:rFonts w:hint="eastAsia"/>
        </w:rPr>
        <w:t>商业模式：二级节点商业模式探索情况，包含收支情况及推广情况。</w:t>
      </w:r>
    </w:p>
    <w:p>
      <w:pPr>
        <w:pStyle w:val="165"/>
      </w:pPr>
      <w:r>
        <w:rPr>
          <w:rFonts w:hint="eastAsia"/>
        </w:rPr>
        <w:t>二级节点应与国家顶级节点对接，提供稳定的标识注册和标识解析服务。</w:t>
      </w:r>
    </w:p>
    <w:p>
      <w:pPr>
        <w:pStyle w:val="165"/>
      </w:pPr>
      <w:r>
        <w:rPr>
          <w:rFonts w:hint="eastAsia"/>
        </w:rPr>
        <w:t>应具有健全的标识编码注册和服务管理制度，以及对企业节点编码使用的监督机制。</w:t>
      </w:r>
    </w:p>
    <w:p>
      <w:pPr>
        <w:pStyle w:val="165"/>
      </w:pPr>
      <w:r>
        <w:rPr>
          <w:rFonts w:hint="eastAsia"/>
        </w:rPr>
        <w:t>应具有健全的网络与信息安全保障措施，包括网络安全管理部门、安全专职管理人员、网络安全管理制度、应急处置预案和相关技术、管理措施等，应与国家顶级节点建立有安全防护协同机制，具有健壮的抗攻击能力，并将二级节点运营过程中出现的网络安全事件与威胁信息及时上报给相关工业互联网安全主管部门。</w:t>
      </w:r>
    </w:p>
    <w:p>
      <w:pPr>
        <w:pStyle w:val="165"/>
      </w:pPr>
      <w:r>
        <w:rPr>
          <w:rFonts w:hint="eastAsia"/>
        </w:rPr>
        <w:t>标识解析二级节点服务机构的责任主体可委托其他具备资质的机构进行系统建设、托管，但不改变其作为标识解析二级节点服务机构的责任主体。</w:t>
      </w:r>
    </w:p>
    <w:p>
      <w:pPr>
        <w:pStyle w:val="165"/>
      </w:pPr>
      <w:r>
        <w:rPr>
          <w:rFonts w:hint="eastAsia"/>
        </w:rPr>
        <w:t>主管部门制定发布工业互联网标识管理规定后，标识解析二级节点服务机构需符合相关运营要求。</w:t>
      </w:r>
    </w:p>
    <w:p>
      <w:pPr>
        <w:pStyle w:val="105"/>
        <w:spacing w:before="156" w:after="156"/>
      </w:pPr>
      <w:r>
        <w:rPr>
          <w:rFonts w:hint="eastAsia"/>
        </w:rPr>
        <w:t>运营技术要求</w:t>
      </w:r>
    </w:p>
    <w:p>
      <w:pPr>
        <w:pStyle w:val="230"/>
      </w:pPr>
      <w:r>
        <w:rPr>
          <w:rFonts w:hint="eastAsia"/>
        </w:rPr>
        <w:t>二级节点在运营技术上应满足以下要求：</w:t>
      </w:r>
    </w:p>
    <w:p>
      <w:pPr>
        <w:pStyle w:val="174"/>
        <w:numPr>
          <w:ilvl w:val="0"/>
          <w:numId w:val="32"/>
        </w:numPr>
      </w:pPr>
      <w:r>
        <w:rPr>
          <w:rFonts w:hint="eastAsia"/>
        </w:rPr>
        <w:t>服务可用性应达到99.99%以上；</w:t>
      </w:r>
    </w:p>
    <w:p>
      <w:pPr>
        <w:pStyle w:val="174"/>
      </w:pPr>
      <w:r>
        <w:rPr>
          <w:rFonts w:hint="eastAsia"/>
        </w:rPr>
        <w:t>支持 IPv4、IPv6 双协议栈的标识注册及解析服务；</w:t>
      </w:r>
    </w:p>
    <w:p>
      <w:pPr>
        <w:pStyle w:val="174"/>
      </w:pPr>
      <w:r>
        <w:rPr>
          <w:rFonts w:hint="eastAsia"/>
        </w:rPr>
        <w:t>支持对企业节点及标识查询客户端的双向身份认证；</w:t>
      </w:r>
    </w:p>
    <w:p>
      <w:pPr>
        <w:pStyle w:val="174"/>
      </w:pPr>
      <w:r>
        <w:rPr>
          <w:rFonts w:hint="eastAsia"/>
        </w:rPr>
        <w:t>支持对标识解析过程中数据传输的机密性与完整性保护；</w:t>
      </w:r>
    </w:p>
    <w:p>
      <w:pPr>
        <w:pStyle w:val="174"/>
      </w:pPr>
      <w:r>
        <w:rPr>
          <w:rFonts w:hint="eastAsia"/>
        </w:rPr>
        <w:t>支持对标识信息的访问权限控制能力；</w:t>
      </w:r>
    </w:p>
    <w:p>
      <w:pPr>
        <w:pStyle w:val="174"/>
        <w:rPr>
          <w:rFonts w:hAnsi="宋体" w:cs="宋体"/>
        </w:rPr>
      </w:pPr>
      <w:r>
        <w:rPr>
          <w:rFonts w:hint="eastAsia"/>
        </w:rPr>
        <w:t>具备流量重定向等拒绝服务攻击防护能力。</w:t>
      </w:r>
    </w:p>
    <w:p>
      <w:pPr>
        <w:pStyle w:val="104"/>
        <w:spacing w:before="312" w:after="312"/>
      </w:pPr>
      <w:bookmarkStart w:id="47" w:name="_Toc83542209"/>
      <w:r>
        <w:rPr>
          <w:rFonts w:hint="eastAsia"/>
        </w:rPr>
        <w:t>运营人员</w:t>
      </w:r>
      <w:bookmarkEnd w:id="47"/>
    </w:p>
    <w:p>
      <w:pPr>
        <w:pStyle w:val="105"/>
        <w:spacing w:before="156" w:after="156"/>
      </w:pPr>
      <w:r>
        <w:rPr>
          <w:rFonts w:hint="eastAsia"/>
        </w:rPr>
        <w:t>人员管理</w:t>
      </w:r>
    </w:p>
    <w:p>
      <w:pPr>
        <w:pStyle w:val="165"/>
        <w:rPr>
          <w:rFonts w:hAnsi="宋体" w:cs="宋体"/>
        </w:rPr>
      </w:pPr>
      <w:r>
        <w:rPr>
          <w:rFonts w:hint="eastAsia"/>
        </w:rPr>
        <w:t>标识解析二级节点服务机构的岗位结构应满足：</w:t>
      </w:r>
    </w:p>
    <w:p>
      <w:pPr>
        <w:pStyle w:val="174"/>
        <w:numPr>
          <w:ilvl w:val="0"/>
          <w:numId w:val="33"/>
        </w:numPr>
      </w:pPr>
      <w:r>
        <w:rPr>
          <w:rFonts w:hint="eastAsia"/>
        </w:rPr>
        <w:t>建立专职团队负责标识解析二级节点服务的提供；</w:t>
      </w:r>
    </w:p>
    <w:p>
      <w:pPr>
        <w:pStyle w:val="174"/>
      </w:pPr>
      <w:r>
        <w:rPr>
          <w:rFonts w:hint="eastAsia"/>
        </w:rPr>
        <w:t>对标识解析二级节点服务过程中的不同角色进行明确分工和职责定义；</w:t>
      </w:r>
    </w:p>
    <w:p>
      <w:pPr>
        <w:pStyle w:val="174"/>
      </w:pPr>
      <w:r>
        <w:rPr>
          <w:rFonts w:hint="eastAsia"/>
        </w:rPr>
        <w:t>设立标识解析二级节点服务的管理、技术支持和系统操作维护等主要岗位；</w:t>
      </w:r>
    </w:p>
    <w:p>
      <w:pPr>
        <w:pStyle w:val="174"/>
      </w:pPr>
      <w:r>
        <w:rPr>
          <w:rFonts w:hint="eastAsia"/>
        </w:rPr>
        <w:t>配置符合工作岗位要求的技术人员，保障各项工作有序开展。</w:t>
      </w:r>
    </w:p>
    <w:p>
      <w:pPr>
        <w:pStyle w:val="165"/>
      </w:pPr>
      <w:r>
        <w:rPr>
          <w:rFonts w:hint="eastAsia"/>
        </w:rPr>
        <w:t>标识解析二级节点服务机构的人员结构应涵盖：</w:t>
      </w:r>
    </w:p>
    <w:p>
      <w:pPr>
        <w:pStyle w:val="174"/>
        <w:numPr>
          <w:ilvl w:val="0"/>
          <w:numId w:val="34"/>
        </w:numPr>
      </w:pPr>
      <w:r>
        <w:rPr>
          <w:rFonts w:hint="eastAsia"/>
        </w:rPr>
        <w:t>工业互联网标识解析架构设计工程师；</w:t>
      </w:r>
    </w:p>
    <w:p>
      <w:pPr>
        <w:pStyle w:val="174"/>
      </w:pPr>
      <w:r>
        <w:rPr>
          <w:rFonts w:hint="eastAsia"/>
        </w:rPr>
        <w:t>工业互联网标识研发工程师；</w:t>
      </w:r>
    </w:p>
    <w:p>
      <w:pPr>
        <w:pStyle w:val="174"/>
      </w:pPr>
      <w:r>
        <w:rPr>
          <w:rFonts w:hint="eastAsia"/>
        </w:rPr>
        <w:t>工业互联网标识解析产品设计工程师；</w:t>
      </w:r>
    </w:p>
    <w:p>
      <w:pPr>
        <w:pStyle w:val="174"/>
      </w:pPr>
      <w:r>
        <w:rPr>
          <w:rFonts w:hint="eastAsia"/>
        </w:rPr>
        <w:t>工业互联网标识解析运维工程师；</w:t>
      </w:r>
    </w:p>
    <w:p>
      <w:pPr>
        <w:pStyle w:val="174"/>
      </w:pPr>
      <w:r>
        <w:rPr>
          <w:rFonts w:hint="eastAsia"/>
        </w:rPr>
        <w:t>工业互联网标识解析系统集成工程师。</w:t>
      </w:r>
    </w:p>
    <w:p>
      <w:pPr>
        <w:pStyle w:val="105"/>
        <w:spacing w:before="156" w:after="156"/>
      </w:pPr>
      <w:r>
        <w:rPr>
          <w:rFonts w:hint="eastAsia"/>
        </w:rPr>
        <w:t>人员技能</w:t>
      </w:r>
    </w:p>
    <w:p>
      <w:pPr>
        <w:pStyle w:val="56"/>
        <w:ind w:firstLine="420"/>
      </w:pPr>
      <w:r>
        <w:rPr>
          <w:rFonts w:hint="eastAsia"/>
        </w:rPr>
        <w:t>标识解析二级节点服务机构在人员技能方面应满足：</w:t>
      </w:r>
    </w:p>
    <w:p>
      <w:pPr>
        <w:pStyle w:val="174"/>
        <w:numPr>
          <w:ilvl w:val="0"/>
          <w:numId w:val="35"/>
        </w:numPr>
      </w:pPr>
      <w:r>
        <w:rPr>
          <w:rFonts w:hint="eastAsia"/>
        </w:rPr>
        <w:t>应掌握必要的专业技能，具备从事相关工作的资格；</w:t>
      </w:r>
    </w:p>
    <w:p>
      <w:pPr>
        <w:pStyle w:val="174"/>
      </w:pPr>
      <w:r>
        <w:rPr>
          <w:rFonts w:hint="eastAsia"/>
        </w:rPr>
        <w:t>应参加岗位技能考核，合格后方能上岗，岗位技能考核应定期开展。</w:t>
      </w:r>
    </w:p>
    <w:p>
      <w:pPr>
        <w:pStyle w:val="104"/>
        <w:spacing w:before="312" w:after="312"/>
        <w:rPr>
          <w:rFonts w:hAnsi="黑体" w:cs="宋体"/>
        </w:rPr>
      </w:pPr>
      <w:bookmarkStart w:id="48" w:name="_Toc83542210"/>
      <w:r>
        <w:rPr>
          <w:rFonts w:hint="eastAsia"/>
        </w:rPr>
        <w:t>基础设施运营</w:t>
      </w:r>
      <w:bookmarkEnd w:id="48"/>
    </w:p>
    <w:p>
      <w:pPr>
        <w:pStyle w:val="105"/>
        <w:spacing w:before="156" w:after="156"/>
      </w:pPr>
      <w:r>
        <w:rPr>
          <w:rFonts w:hint="eastAsia"/>
        </w:rPr>
        <w:t>基础设施</w:t>
      </w:r>
    </w:p>
    <w:p>
      <w:pPr>
        <w:pStyle w:val="56"/>
        <w:ind w:firstLine="420"/>
      </w:pPr>
      <w:r>
        <w:rPr>
          <w:rFonts w:hint="eastAsia"/>
        </w:rPr>
        <w:t>标识解析二级节点服务机构能够对其标识解析二级节点服务环境中的基础设施资源进行有效管理，应满足以下要求：</w:t>
      </w:r>
    </w:p>
    <w:p>
      <w:pPr>
        <w:pStyle w:val="174"/>
        <w:numPr>
          <w:ilvl w:val="0"/>
          <w:numId w:val="36"/>
        </w:numPr>
      </w:pPr>
      <w:r>
        <w:rPr>
          <w:rFonts w:hint="eastAsia"/>
        </w:rPr>
        <w:t>具备对资源(CPU内存存储空间、网络带宽等)进行容量规划的能力，包括一个明确的简单的可操作的、针对基础设施资源池的计算资源容量规划方法以及落实该方法能够切实执行所需要的工具、人员、流程；</w:t>
      </w:r>
    </w:p>
    <w:p>
      <w:pPr>
        <w:pStyle w:val="174"/>
      </w:pPr>
      <w:r>
        <w:rPr>
          <w:rFonts w:hint="eastAsia"/>
        </w:rPr>
        <w:t>具备合适的对资源的使用运行情况进行监控的能力，包括:合适的工具、人员、操作规程（CPU、内存等使用的预警规则）；</w:t>
      </w:r>
    </w:p>
    <w:p>
      <w:pPr>
        <w:pStyle w:val="174"/>
      </w:pPr>
      <w:r>
        <w:rPr>
          <w:rFonts w:hint="eastAsia"/>
        </w:rPr>
        <w:t>具备资源(CPU内存存储空间、网络带宽等)运行时故障处理的能力，包括:故障处理工具、人员、流程等；</w:t>
      </w:r>
    </w:p>
    <w:p>
      <w:pPr>
        <w:pStyle w:val="174"/>
        <w:rPr>
          <w:rFonts w:hAnsi="宋体" w:cs="宋体"/>
          <w:color w:val="000000"/>
          <w:sz w:val="28"/>
          <w:szCs w:val="28"/>
        </w:rPr>
      </w:pPr>
      <w:r>
        <w:rPr>
          <w:rFonts w:hint="eastAsia"/>
        </w:rPr>
        <w:t>资源故障处理能力应与资源监控能力匹配。</w:t>
      </w:r>
    </w:p>
    <w:p>
      <w:pPr>
        <w:pStyle w:val="105"/>
        <w:spacing w:before="156" w:after="156"/>
        <w:rPr>
          <w:szCs w:val="21"/>
        </w:rPr>
      </w:pPr>
      <w:r>
        <w:rPr>
          <w:rFonts w:hint="eastAsia"/>
        </w:rPr>
        <w:t>支撑环境</w:t>
      </w:r>
    </w:p>
    <w:p>
      <w:pPr>
        <w:pStyle w:val="56"/>
        <w:ind w:firstLine="420"/>
      </w:pPr>
      <w:r>
        <w:rPr>
          <w:rFonts w:hint="eastAsia"/>
        </w:rPr>
        <w:t>标识解析二级节点服务机构能够对其标识解析二级节点服务环境中的支撑环境资源进行有效管理，支撑环境应满足以下要求：</w:t>
      </w:r>
    </w:p>
    <w:p>
      <w:pPr>
        <w:pStyle w:val="174"/>
        <w:numPr>
          <w:ilvl w:val="0"/>
          <w:numId w:val="37"/>
        </w:numPr>
      </w:pPr>
      <w:r>
        <w:rPr>
          <w:rFonts w:hint="eastAsia"/>
        </w:rPr>
        <w:t>用于支撑标识解析二级节点服务的机房基础设施应符合GB/T 2887和GB/T 9361的要求；</w:t>
      </w:r>
    </w:p>
    <w:p>
      <w:pPr>
        <w:pStyle w:val="174"/>
      </w:pPr>
      <w:r>
        <w:rPr>
          <w:rFonts w:hint="eastAsia"/>
        </w:rPr>
        <w:t>机房应建立业务连续性保障机制；</w:t>
      </w:r>
    </w:p>
    <w:p>
      <w:pPr>
        <w:pStyle w:val="174"/>
      </w:pPr>
      <w:r>
        <w:rPr>
          <w:rFonts w:hint="eastAsia"/>
        </w:rPr>
        <w:t>机房宜建立能源管理机制，监控基础设施对能源的使用情况。</w:t>
      </w:r>
    </w:p>
    <w:p>
      <w:pPr>
        <w:pStyle w:val="104"/>
        <w:spacing w:before="312" w:after="312"/>
        <w:rPr>
          <w:rFonts w:hAnsi="黑体" w:cs="宋体"/>
        </w:rPr>
      </w:pPr>
      <w:bookmarkStart w:id="49" w:name="_Toc83542211"/>
      <w:r>
        <w:rPr>
          <w:rFonts w:hint="eastAsia"/>
        </w:rPr>
        <w:t>安全运营</w:t>
      </w:r>
      <w:bookmarkEnd w:id="49"/>
    </w:p>
    <w:p>
      <w:pPr>
        <w:pStyle w:val="105"/>
        <w:spacing w:before="156" w:after="156"/>
      </w:pPr>
      <w:r>
        <w:rPr>
          <w:rFonts w:hint="eastAsia"/>
        </w:rPr>
        <w:t>安全管理制度</w:t>
      </w:r>
    </w:p>
    <w:p>
      <w:pPr>
        <w:pStyle w:val="56"/>
        <w:ind w:firstLine="420"/>
      </w:pPr>
      <w:r>
        <w:rPr>
          <w:rFonts w:hint="eastAsia"/>
        </w:rPr>
        <w:t>标识解析二级节点服务机构应建立安全管理制度，确保运营安全、服务安全和数据安全。</w:t>
      </w:r>
    </w:p>
    <w:p>
      <w:pPr>
        <w:pStyle w:val="56"/>
        <w:ind w:firstLine="420"/>
      </w:pPr>
      <w:r>
        <w:rPr>
          <w:rFonts w:hint="eastAsia"/>
        </w:rPr>
        <w:t>安全管理制度应包括建立覆盖标识解析系统相关软硬件设备采购、使用、管理等全过程的标识解析系统关键要素全生命周期安全管理，以及人员管理、访问控制、信息保护、安全评估等相关制度。</w:t>
      </w:r>
    </w:p>
    <w:p>
      <w:pPr>
        <w:pStyle w:val="56"/>
        <w:ind w:firstLine="420"/>
      </w:pPr>
      <w:r>
        <w:rPr>
          <w:rFonts w:hint="eastAsia"/>
        </w:rPr>
        <w:t>标识解析二级节点服务机构应确定网络与信息安全责任人、网络与信息安全联系人、网络与信息安全管理组织机构及工作职责、安全管理人员配备情况。</w:t>
      </w:r>
    </w:p>
    <w:p>
      <w:pPr>
        <w:pStyle w:val="105"/>
        <w:spacing w:before="156" w:after="156"/>
      </w:pPr>
      <w:r>
        <w:rPr>
          <w:rFonts w:hint="eastAsia"/>
        </w:rPr>
        <w:t xml:space="preserve">运营安全 </w:t>
      </w:r>
    </w:p>
    <w:p>
      <w:pPr>
        <w:pStyle w:val="56"/>
        <w:ind w:firstLine="420"/>
      </w:pPr>
      <w:r>
        <w:rPr>
          <w:rFonts w:hint="eastAsia"/>
        </w:rPr>
        <w:t>标识解析二级节点服务机构应保障二级节点的运营机房、服务器等硬件环境平稳运营，应建立容灾备份机制。申请单位应具备安全资质和健全的管理制度（含人员变动告知承诺书、网络与信息安全管理责任制度等）。</w:t>
      </w:r>
    </w:p>
    <w:p>
      <w:pPr>
        <w:pStyle w:val="105"/>
        <w:spacing w:before="156" w:after="156"/>
      </w:pPr>
      <w:r>
        <w:rPr>
          <w:rFonts w:hint="eastAsia"/>
        </w:rPr>
        <w:t xml:space="preserve">服务安全 </w:t>
      </w:r>
    </w:p>
    <w:p>
      <w:pPr>
        <w:pStyle w:val="56"/>
        <w:ind w:firstLine="420"/>
      </w:pPr>
      <w:r>
        <w:rPr>
          <w:rFonts w:hint="eastAsia"/>
        </w:rPr>
        <w:t>标识解析二级节点服务机构应遵循国家顶级节点接口规范要求，保持与国家顶级节点互联互通。</w:t>
      </w:r>
    </w:p>
    <w:p>
      <w:pPr>
        <w:pStyle w:val="56"/>
        <w:ind w:firstLine="420"/>
      </w:pPr>
      <w:r>
        <w:rPr>
          <w:rFonts w:hint="eastAsia"/>
        </w:rPr>
        <w:t>应履行标识备案、解析监测等公共职能，保证解析路径的安全，确保解析路径不被劫持。</w:t>
      </w:r>
    </w:p>
    <w:p>
      <w:pPr>
        <w:pStyle w:val="56"/>
        <w:ind w:firstLine="420"/>
      </w:pPr>
      <w:r>
        <w:rPr>
          <w:rFonts w:hint="eastAsia"/>
        </w:rPr>
        <w:t>应履行网络与信息安全应急处置预案、网络安全定级备案及安全防护制度。</w:t>
      </w:r>
    </w:p>
    <w:p>
      <w:pPr>
        <w:pStyle w:val="105"/>
        <w:spacing w:before="156" w:after="156"/>
      </w:pPr>
      <w:r>
        <w:rPr>
          <w:rFonts w:hint="eastAsia"/>
        </w:rPr>
        <w:t xml:space="preserve">数据安全 </w:t>
      </w:r>
    </w:p>
    <w:p>
      <w:pPr>
        <w:pStyle w:val="56"/>
        <w:ind w:firstLine="420"/>
      </w:pPr>
      <w:r>
        <w:rPr>
          <w:rFonts w:hint="eastAsia"/>
        </w:rPr>
        <w:t>标识解析二级节点服务机构应保证数据安全。应建立身份认证、数据安全防护、个人信息保护和应急演练制度。落实数据分级分类管理，数据流向监控等安全措施。</w:t>
      </w:r>
    </w:p>
    <w:p>
      <w:pPr>
        <w:pStyle w:val="104"/>
        <w:spacing w:before="312" w:after="312"/>
      </w:pPr>
      <w:bookmarkStart w:id="50" w:name="_Toc83542212"/>
      <w:r>
        <w:rPr>
          <w:rFonts w:hint="eastAsia"/>
        </w:rPr>
        <w:t>运营评价</w:t>
      </w:r>
      <w:bookmarkEnd w:id="50"/>
    </w:p>
    <w:p>
      <w:pPr>
        <w:pStyle w:val="105"/>
        <w:spacing w:before="156" w:after="156"/>
      </w:pPr>
      <w:r>
        <w:rPr>
          <w:rFonts w:hint="eastAsia"/>
        </w:rPr>
        <w:t xml:space="preserve">评价原则 </w:t>
      </w:r>
    </w:p>
    <w:p>
      <w:pPr>
        <w:pStyle w:val="56"/>
        <w:ind w:firstLine="420"/>
      </w:pPr>
      <w:r>
        <w:rPr>
          <w:rFonts w:hint="eastAsia"/>
        </w:rPr>
        <w:t>依据《工业互联网标识管理办法》、《工业互联网创新发展行动计划（2021-2023年）》等文件开展评价工作。</w:t>
      </w:r>
    </w:p>
    <w:p>
      <w:pPr>
        <w:pStyle w:val="105"/>
        <w:spacing w:before="156" w:after="156"/>
      </w:pPr>
      <w:r>
        <w:rPr>
          <w:rFonts w:hint="eastAsia"/>
        </w:rPr>
        <w:t xml:space="preserve">评价指标体系 </w:t>
      </w:r>
    </w:p>
    <w:p>
      <w:pPr>
        <w:pStyle w:val="56"/>
        <w:ind w:firstLine="420"/>
      </w:pPr>
      <w:r>
        <w:rPr>
          <w:rFonts w:hint="eastAsia"/>
        </w:rPr>
        <w:t>标识解析二级节点服务机构应根据评价原则，编制评价指标体系，从机构资质、人员资质、基础设施运转、安全运营等方面对标识解析二级节点运营工作进行评价。</w:t>
      </w:r>
    </w:p>
    <w:p>
      <w:pPr>
        <w:pStyle w:val="105"/>
        <w:spacing w:before="156" w:after="156"/>
      </w:pPr>
      <w:r>
        <w:rPr>
          <w:rFonts w:hint="eastAsia"/>
        </w:rPr>
        <w:t>运营改进</w:t>
      </w:r>
    </w:p>
    <w:p>
      <w:pPr>
        <w:pStyle w:val="230"/>
        <w:rPr>
          <w:rFonts w:hAnsi="Times New Roman" w:cs="Times New Roman"/>
        </w:rPr>
      </w:pPr>
      <w:r>
        <w:rPr>
          <w:rFonts w:hint="eastAsia"/>
        </w:rPr>
        <w:t>标识解析二级节点服务机构</w:t>
      </w:r>
      <w:r>
        <w:rPr>
          <w:rFonts w:hint="eastAsia" w:cs="Times New Roman"/>
        </w:rPr>
        <w:t>应根据评价结果，及时改进运营工作。</w:t>
      </w:r>
    </w:p>
    <w:p>
      <w:pPr>
        <w:pStyle w:val="230"/>
      </w:pPr>
    </w:p>
    <w:p>
      <w:pPr>
        <w:pStyle w:val="235"/>
      </w:pPr>
    </w:p>
    <w:p>
      <w:pPr>
        <w:pStyle w:val="56"/>
        <w:ind w:firstLine="420"/>
      </w:pPr>
    </w:p>
    <w:bookmarkEnd w:id="24"/>
    <w:p>
      <w:pPr>
        <w:pStyle w:val="56"/>
        <w:ind w:firstLine="0" w:firstLineChars="0"/>
        <w:jc w:val="center"/>
      </w:pPr>
      <w:bookmarkStart w:id="51"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51"/>
    </w:p>
    <w:sectPr>
      <w:pgSz w:w="11906" w:h="16838"/>
      <w:pgMar w:top="2410"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23/T XXXX—2021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23/T XXXX—2021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ISFKSumCAfEcaVdSrIULYqGrv6zc3PU04CaTKNyoOHXDoBZeGoFfU+vXRm+HncgH7FkDuAgMHOwM8hXqlgbbXg==" w:salt="ghLl+YJ5GiJAzmU5JUKf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8E3"/>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2D5"/>
    <w:rsid w:val="003E1C53"/>
    <w:rsid w:val="003E2A69"/>
    <w:rsid w:val="003E2D49"/>
    <w:rsid w:val="003E2FD4"/>
    <w:rsid w:val="003E49F6"/>
    <w:rsid w:val="003E660F"/>
    <w:rsid w:val="003F0841"/>
    <w:rsid w:val="003F0FBA"/>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594"/>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7B8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75"/>
    <w:rsid w:val="008E0C9D"/>
    <w:rsid w:val="008E1648"/>
    <w:rsid w:val="008E1B3E"/>
    <w:rsid w:val="008E2319"/>
    <w:rsid w:val="008E4BB6"/>
    <w:rsid w:val="008E5518"/>
    <w:rsid w:val="008E6A84"/>
    <w:rsid w:val="008F0648"/>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5C1"/>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5B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4BB"/>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C4A"/>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7BB"/>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E963CA"/>
    <w:rsid w:val="1B3D20FF"/>
    <w:rsid w:val="3EE7380E"/>
    <w:rsid w:val="4DAB45C7"/>
    <w:rsid w:val="64CF3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1">
    <w:name w:val="一级条标题"/>
    <w:basedOn w:val="1"/>
    <w:next w:val="230"/>
    <w:qFormat/>
    <w:uiPriority w:val="0"/>
    <w:pPr>
      <w:widowControl/>
      <w:adjustRightInd/>
      <w:spacing w:beforeLines="50" w:afterLines="50" w:line="240" w:lineRule="auto"/>
      <w:jc w:val="left"/>
      <w:outlineLvl w:val="2"/>
    </w:pPr>
    <w:rPr>
      <w:rFonts w:ascii="黑体" w:hAnsi="黑体" w:eastAsia="黑体" w:cs="宋体"/>
      <w:kern w:val="0"/>
    </w:rPr>
  </w:style>
  <w:style w:type="paragraph" w:customStyle="1" w:styleId="232">
    <w:name w:val="章标题"/>
    <w:basedOn w:val="1"/>
    <w:next w:val="230"/>
    <w:qFormat/>
    <w:uiPriority w:val="0"/>
    <w:pPr>
      <w:widowControl/>
      <w:adjustRightInd/>
      <w:spacing w:beforeLines="100" w:afterLines="100" w:line="240" w:lineRule="auto"/>
      <w:outlineLvl w:val="1"/>
    </w:pPr>
    <w:rPr>
      <w:rFonts w:ascii="黑体" w:hAnsi="黑体" w:eastAsia="黑体" w:cs="宋体"/>
      <w:kern w:val="0"/>
    </w:rPr>
  </w:style>
  <w:style w:type="paragraph" w:customStyle="1" w:styleId="233">
    <w:name w:val="字母编号列项（一级）"/>
    <w:basedOn w:val="1"/>
    <w:qFormat/>
    <w:uiPriority w:val="0"/>
    <w:pPr>
      <w:widowControl/>
      <w:adjustRightInd/>
      <w:spacing w:before="100" w:beforeAutospacing="1" w:after="100" w:afterAutospacing="1" w:line="240" w:lineRule="auto"/>
      <w:ind w:left="839" w:hanging="419"/>
    </w:pPr>
    <w:rPr>
      <w:rFonts w:ascii="宋体" w:hAnsi="宋体" w:cs="宋体"/>
      <w:kern w:val="0"/>
    </w:rPr>
  </w:style>
  <w:style w:type="paragraph" w:customStyle="1" w:styleId="234">
    <w:name w:val="二级无"/>
    <w:basedOn w:val="1"/>
    <w:qFormat/>
    <w:uiPriority w:val="0"/>
    <w:pPr>
      <w:widowControl/>
      <w:adjustRightInd/>
      <w:spacing w:line="240" w:lineRule="auto"/>
      <w:jc w:val="left"/>
      <w:outlineLvl w:val="3"/>
    </w:pPr>
    <w:rPr>
      <w:rFonts w:ascii="宋体" w:hAnsi="宋体" w:cs="宋体"/>
      <w:kern w:val="0"/>
    </w:rPr>
  </w:style>
  <w:style w:type="paragraph" w:customStyle="1" w:styleId="235">
    <w:name w:val="一级无"/>
    <w:basedOn w:val="231"/>
    <w:qFormat/>
    <w:uiPriority w:val="0"/>
    <w:pPr>
      <w:spacing w:beforeLines="0" w:afterLines="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16FEA57F2E24625B98BEDE5480B0FCF"/>
        <w:style w:val=""/>
        <w:category>
          <w:name w:val="常规"/>
          <w:gallery w:val="placeholder"/>
        </w:category>
        <w:types>
          <w:type w:val="bbPlcHdr"/>
        </w:types>
        <w:behaviors>
          <w:behavior w:val="content"/>
        </w:behaviors>
        <w:description w:val=""/>
        <w:guid w:val="{8C03F216-584A-4194-9BBA-D99436704F8C}"/>
      </w:docPartPr>
      <w:docPartBody>
        <w:p>
          <w:pPr>
            <w:pStyle w:val="5"/>
          </w:pPr>
          <w:r>
            <w:rPr>
              <w:rStyle w:val="4"/>
              <w:rFonts w:hint="eastAsia"/>
            </w:rPr>
            <w:t>单击或点击此处输入文字。</w:t>
          </w:r>
        </w:p>
      </w:docPartBody>
    </w:docPart>
    <w:docPart>
      <w:docPartPr>
        <w:name w:val="0B23AEB3B8444EF89F0888335DD4AD89"/>
        <w:style w:val=""/>
        <w:category>
          <w:name w:val="常规"/>
          <w:gallery w:val="placeholder"/>
        </w:category>
        <w:types>
          <w:type w:val="bbPlcHdr"/>
        </w:types>
        <w:behaviors>
          <w:behavior w:val="content"/>
        </w:behaviors>
        <w:description w:val=""/>
        <w:guid w:val="{18066DF0-1CAC-4B35-B047-5CF2B1088742}"/>
      </w:docPartPr>
      <w:docPartBody>
        <w:p>
          <w:pPr>
            <w:pStyle w:val="6"/>
          </w:pPr>
          <w:r>
            <w:rPr>
              <w:rStyle w:val="4"/>
              <w:rFonts w:hint="eastAsia"/>
            </w:rPr>
            <w:t>选择一项。</w:t>
          </w:r>
        </w:p>
      </w:docPartBody>
    </w:docPart>
    <w:docPart>
      <w:docPartPr>
        <w:name w:val="5A7F7DCDED4843439A8E3000F49EEA81"/>
        <w:style w:val=""/>
        <w:category>
          <w:name w:val="常规"/>
          <w:gallery w:val="placeholder"/>
        </w:category>
        <w:types>
          <w:type w:val="bbPlcHdr"/>
        </w:types>
        <w:behaviors>
          <w:behavior w:val="content"/>
        </w:behaviors>
        <w:description w:val=""/>
        <w:guid w:val="{A926D5A7-6559-4210-9444-0B883502530A}"/>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9D"/>
    <w:rsid w:val="008B7A40"/>
    <w:rsid w:val="009755B5"/>
    <w:rsid w:val="009C0731"/>
    <w:rsid w:val="00B2179D"/>
    <w:rsid w:val="00E26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16FEA57F2E24625B98BEDE5480B0F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B23AEB3B8444EF89F0888335DD4AD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A7F7DCDED4843439A8E3000F49EEA8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9C64D-B51D-411C-BC56-62B2E39368B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662</Words>
  <Characters>3776</Characters>
  <Lines>31</Lines>
  <Paragraphs>8</Paragraphs>
  <TotalTime>2</TotalTime>
  <ScaleCrop>false</ScaleCrop>
  <LinksUpToDate>false</LinksUpToDate>
  <CharactersWithSpaces>4430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2021-09-26T01:41:00Z</dcterms:created>
  <dc:creator>ZHJ</dc:creator>
  <dc:description>&lt;config cover="true" show_menu="true" version="1.0.0" doctype="SDKXY"&gt;_x000d_
&lt;/config&gt;</dc:description>
  <cp:lastModifiedBy>BZY-BGS</cp:lastModifiedBy>
  <cp:lastPrinted>2020-08-30T10:00:00Z</cp:lastPrinted>
  <dcterms:modified xsi:type="dcterms:W3CDTF">2021-10-18T05:48:17Z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2052-11.1.0.10938</vt:lpwstr>
  </property>
  <property fmtid="{D5CDD505-2E9C-101B-9397-08002B2CF9AE}" pid="15" name="ICV">
    <vt:lpwstr>DF6A4A1637A749328641372F615C741D</vt:lpwstr>
  </property>
</Properties>
</file>