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</w:pPr>
      <w:r>
        <w:rPr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-15875</wp:posOffset>
            </wp:positionV>
            <wp:extent cx="1666875" cy="682625"/>
            <wp:effectExtent l="0" t="0" r="9525" b="317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  <w:r>
        <w:rPr>
          <w:b/>
          <w:sz w:val="84"/>
        </w:rPr>
        <w:t>JJF</w:t>
      </w:r>
      <w:r>
        <w:rPr>
          <w:rFonts w:hint="eastAsia"/>
          <w:b/>
          <w:sz w:val="84"/>
        </w:rPr>
        <w:t>（</w:t>
      </w:r>
    </w:p>
    <w:p>
      <w:pPr>
        <w:pStyle w:val="16"/>
        <w:spacing w:line="940" w:lineRule="exact"/>
        <w:ind w:right="-92" w:rightChars="-44"/>
        <w:jc w:val="distribute"/>
        <w:rPr>
          <w:rFonts w:ascii="方正小标宋简体" w:eastAsia="方正小标宋简体"/>
          <w:w w:val="120"/>
          <w:sz w:val="52"/>
          <w:szCs w:val="52"/>
        </w:rPr>
      </w:pPr>
      <w:r>
        <w:rPr>
          <w:rFonts w:hint="eastAsia" w:ascii="方正小标宋简体" w:eastAsia="方正小标宋简体"/>
          <w:w w:val="120"/>
          <w:sz w:val="52"/>
          <w:szCs w:val="52"/>
        </w:rPr>
        <w:t>黑龙江省地方计量技术规范</w:t>
      </w:r>
    </w:p>
    <w:p>
      <w:pPr>
        <w:ind w:firstLine="5488" w:firstLineChars="196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sz w:val="28"/>
        </w:rPr>
        <w:t xml:space="preserve">   JJF</w:t>
      </w:r>
      <w:r>
        <w:rPr>
          <w:rFonts w:hint="eastAsia" w:ascii="黑体" w:hAnsi="黑体" w:eastAsia="黑体" w:cs="黑体"/>
          <w:sz w:val="28"/>
        </w:rPr>
        <w:t>（黑）</w:t>
      </w:r>
      <w:r>
        <w:rPr>
          <w:rFonts w:hint="eastAsia" w:ascii="黑体" w:hAnsi="黑体" w:eastAsia="黑体"/>
          <w:spacing w:val="20"/>
          <w:sz w:val="28"/>
        </w:rPr>
        <w:t>XX-2023</w:t>
      </w:r>
    </w:p>
    <w:p>
      <w:pPr>
        <w:rPr>
          <w:rFonts w:ascii="Calibri" w:hAnsi="Calibri"/>
          <w:b/>
          <w:sz w:val="44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39790" cy="1905"/>
                <wp:effectExtent l="0" t="6350" r="3810" b="10795"/>
                <wp:wrapNone/>
                <wp:docPr id="37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flip:y;margin-left:0pt;margin-top:7.7pt;height:0.15pt;width:467.7pt;z-index:251665408;mso-width-relative:page;mso-height-relative:page;" filled="f" stroked="t" coordsize="21600,21600" o:gfxdata="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lOko1QAA&#10;AAYBAAAPAAAAAAAAAAEAIAAAACIAAABkcnMvZG93bnJldi54bWxQSwECFAAUAAAACACHTuJAtcTs&#10;n+gBAADfAwAADgAAAAAAAAABACAAAAAk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44"/>
        </w:rPr>
      </w:pPr>
    </w:p>
    <w:p>
      <w:pPr>
        <w:spacing w:line="300" w:lineRule="auto"/>
        <w:jc w:val="center"/>
        <w:rPr>
          <w:rFonts w:ascii="黑体" w:hAnsi="黑体" w:eastAsia="黑体"/>
          <w:spacing w:val="40"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标准厚度块校准规范</w:t>
      </w:r>
    </w:p>
    <w:p>
      <w:pPr>
        <w:spacing w:line="30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Calibration Specification for Standard Thickness Blocks</w:t>
      </w:r>
    </w:p>
    <w:p>
      <w:pPr>
        <w:spacing w:line="276" w:lineRule="auto"/>
        <w:ind w:right="460"/>
        <w:jc w:val="center"/>
        <w:rPr>
          <w:rFonts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(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公示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稿</w:t>
      </w:r>
      <w:r>
        <w:rPr>
          <w:rFonts w:hint="eastAsia" w:ascii="黑体" w:hAnsi="黑体" w:eastAsia="黑体" w:cs="黑体"/>
          <w:sz w:val="28"/>
          <w:szCs w:val="28"/>
        </w:rPr>
        <w:t>)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Calibri" w:eastAsia="黑体"/>
          <w:bCs/>
          <w:sz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pStyle w:val="16"/>
        <w:ind w:left="0" w:leftChars="0"/>
        <w:rPr>
          <w:bCs/>
          <w:szCs w:val="21"/>
        </w:rPr>
      </w:pPr>
    </w:p>
    <w:p>
      <w:pPr>
        <w:pStyle w:val="16"/>
        <w:ind w:left="0" w:leftChars="0"/>
        <w:rPr>
          <w:bCs/>
          <w:szCs w:val="21"/>
        </w:rPr>
      </w:pPr>
    </w:p>
    <w:p>
      <w:pPr>
        <w:pStyle w:val="16"/>
        <w:ind w:left="0" w:leftChars="0"/>
        <w:rPr>
          <w:bCs/>
          <w:szCs w:val="21"/>
        </w:rPr>
      </w:pPr>
    </w:p>
    <w:p>
      <w:pPr>
        <w:pStyle w:val="16"/>
        <w:ind w:left="0" w:leftChars="0"/>
        <w:rPr>
          <w:rFonts w:ascii="黑体" w:hAnsi="黑体" w:eastAsia="黑体"/>
          <w:color w:val="000000"/>
          <w:sz w:val="28"/>
          <w:szCs w:val="28"/>
        </w:rPr>
      </w:pPr>
    </w:p>
    <w:p>
      <w:pPr>
        <w:pStyle w:val="16"/>
        <w:spacing w:after="0"/>
        <w:ind w:left="0" w:leftChars="0"/>
        <w:rPr>
          <w:rFonts w:ascii="黑体" w:hAnsi="黑体" w:eastAsia="黑体"/>
          <w:color w:val="000000"/>
          <w:szCs w:val="21"/>
        </w:rPr>
      </w:pPr>
    </w:p>
    <w:p>
      <w:pPr>
        <w:pStyle w:val="16"/>
        <w:spacing w:after="0"/>
        <w:ind w:left="0" w:leftChars="0"/>
        <w:rPr>
          <w:rFonts w:ascii="黑体" w:hAnsi="黑体" w:eastAsia="黑体"/>
          <w:color w:val="000000"/>
          <w:sz w:val="18"/>
          <w:szCs w:val="18"/>
        </w:rPr>
      </w:pPr>
    </w:p>
    <w:p>
      <w:pPr>
        <w:pStyle w:val="16"/>
        <w:spacing w:after="0"/>
        <w:ind w:left="0" w:leftChars="0"/>
        <w:rPr>
          <w:rFonts w:ascii="黑体" w:hAnsi="黑体" w:eastAsia="黑体"/>
          <w:color w:val="000000"/>
          <w:sz w:val="18"/>
          <w:szCs w:val="18"/>
        </w:rPr>
      </w:pPr>
    </w:p>
    <w:p>
      <w:pPr>
        <w:pStyle w:val="16"/>
        <w:spacing w:after="0" w:line="24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ascii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338455</wp:posOffset>
                </wp:positionV>
                <wp:extent cx="5939790" cy="0"/>
                <wp:effectExtent l="0" t="0" r="0" b="0"/>
                <wp:wrapNone/>
                <wp:docPr id="38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-2.85pt;margin-top:26.65pt;height:0pt;width:467.7pt;z-index:251666432;mso-width-relative:page;mso-height-relative:page;" filled="f" stroked="t" coordsize="21600,21600" o:gfxdata="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nwhLdYAAAAIAQAA&#10;DwAAAAAAAAABACAAAAAiAAAAZHJzL2Rvd25yZXYueG1sUEsBAhQAFAAAAAgAh07iQC4ZG+ziAQAA&#10;0Q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000000"/>
          <w:sz w:val="28"/>
          <w:szCs w:val="28"/>
        </w:rPr>
        <w:t>20</w:t>
      </w:r>
      <w:r>
        <w:rPr>
          <w:rFonts w:hint="eastAsia" w:ascii="黑体" w:hAnsi="黑体" w:eastAsia="黑体"/>
          <w:color w:val="000000"/>
          <w:sz w:val="28"/>
          <w:szCs w:val="28"/>
        </w:rPr>
        <w:t>23</w:t>
      </w:r>
      <w:r>
        <w:rPr>
          <w:rFonts w:ascii="黑体" w:hAnsi="黑体" w:eastAsia="黑体"/>
          <w:color w:val="000000"/>
          <w:sz w:val="28"/>
          <w:szCs w:val="28"/>
        </w:rPr>
        <w:t xml:space="preserve">-XX-XX </w:t>
      </w:r>
      <w:r>
        <w:rPr>
          <w:rFonts w:hint="eastAsia" w:ascii="黑体" w:hAnsi="黑体" w:eastAsia="黑体"/>
          <w:color w:val="000000"/>
          <w:sz w:val="28"/>
          <w:szCs w:val="28"/>
        </w:rPr>
        <w:t>发布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</w:t>
      </w:r>
      <w:r>
        <w:rPr>
          <w:rFonts w:ascii="黑体" w:hAnsi="黑体" w:eastAsia="黑体"/>
          <w:sz w:val="28"/>
          <w:szCs w:val="28"/>
        </w:rPr>
        <w:t xml:space="preserve">             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23</w:t>
      </w:r>
      <w:r>
        <w:rPr>
          <w:rFonts w:ascii="黑体" w:hAnsi="黑体" w:eastAsia="黑体"/>
          <w:sz w:val="28"/>
          <w:szCs w:val="28"/>
        </w:rPr>
        <w:t xml:space="preserve">-XX-XX </w:t>
      </w:r>
      <w:r>
        <w:rPr>
          <w:rFonts w:hint="eastAsia" w:ascii="黑体" w:hAnsi="黑体" w:eastAsia="黑体"/>
          <w:sz w:val="28"/>
          <w:szCs w:val="28"/>
        </w:rPr>
        <w:t>实施</w:t>
      </w:r>
    </w:p>
    <w:p>
      <w:pPr>
        <w:jc w:val="center"/>
        <w:rPr>
          <w:rFonts w:eastAsia="黑体"/>
          <w:sz w:val="28"/>
        </w:rPr>
      </w:pPr>
      <w:r>
        <w:rPr>
          <w:rFonts w:hint="eastAsia" w:ascii="方正小标宋简体" w:eastAsia="方正小标宋简体"/>
          <w:spacing w:val="34"/>
          <w:w w:val="120"/>
          <w:sz w:val="44"/>
        </w:rPr>
        <w:t>黑龙江省市场监督管理局</w:t>
      </w:r>
      <w:r>
        <w:t xml:space="preserve"> </w:t>
      </w:r>
      <w:r>
        <w:rPr>
          <w:rFonts w:hint="eastAsia" w:ascii="黑体" w:hAnsi="黑体" w:eastAsia="黑体" w:cs="黑体"/>
          <w:sz w:val="28"/>
        </w:rPr>
        <w:t>发 布</w:t>
      </w:r>
    </w:p>
    <w:p>
      <w:pPr>
        <w:spacing w:line="300" w:lineRule="auto"/>
        <w:rPr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992" w:left="1701" w:header="851" w:footer="851" w:gutter="0"/>
          <w:pgNumType w:fmt="upperRoman" w:start="1" w:chapStyle="1"/>
          <w:cols w:space="720" w:num="1"/>
          <w:titlePg/>
          <w:docGrid w:type="lines" w:linePitch="312" w:charSpace="0"/>
        </w:sectPr>
      </w:pPr>
    </w:p>
    <w:p>
      <w:pPr>
        <w:spacing w:line="300" w:lineRule="auto"/>
        <w:rPr>
          <w:rFonts w:eastAsia="黑体"/>
          <w:bCs/>
          <w:sz w:val="44"/>
          <w:szCs w:val="44"/>
        </w:rPr>
      </w:pPr>
    </w:p>
    <w:p>
      <w:pPr>
        <w:spacing w:before="156" w:beforeLines="50" w:line="300" w:lineRule="auto"/>
        <w:ind w:firstLine="880" w:firstLineChars="200"/>
        <w:rPr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415925</wp:posOffset>
                </wp:positionV>
                <wp:extent cx="1826260" cy="513080"/>
                <wp:effectExtent l="0" t="0" r="0" b="0"/>
                <wp:wrapNone/>
                <wp:docPr id="3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JJF(黑)XX-2023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1.15pt;margin-top:32.75pt;height:40.4pt;width:143.8pt;z-index:251664384;mso-width-relative:page;mso-height-relative:page;" filled="f" stroked="f" coordsize="21600,21600" o:gfxdata="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ljLePXAAAACgEAAA8AAAAAAAAAAQAgAAAAIgAAAGRy&#10;cy9kb3ducmV2LnhtbFBLAQIUABQAAAAIAIdO4kB3qfuQzQEAAIM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eastAsia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JJF(黑)XX-2023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320675</wp:posOffset>
            </wp:positionV>
            <wp:extent cx="1619885" cy="791845"/>
            <wp:effectExtent l="0" t="0" r="5715" b="8255"/>
            <wp:wrapNone/>
            <wp:docPr id="3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sz w:val="44"/>
          <w:szCs w:val="44"/>
        </w:rPr>
        <w:t>标准厚度块校准规范</w:t>
      </w:r>
    </w:p>
    <w:p>
      <w:pPr>
        <w:spacing w:line="300" w:lineRule="auto"/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Calibration Specification for</w:t>
      </w:r>
    </w:p>
    <w:p>
      <w:pPr>
        <w:spacing w:line="300" w:lineRule="auto"/>
        <w:ind w:firstLine="1120" w:firstLineChars="4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Standard Thickness Blocks</w:t>
      </w:r>
    </w:p>
    <w:p>
      <w:pPr>
        <w:spacing w:line="300" w:lineRule="auto"/>
        <w:rPr>
          <w:rFonts w:ascii="黑体" w:hAnsi="黑体" w:eastAsia="黑体"/>
          <w:b/>
        </w:rPr>
      </w:pPr>
      <w:r>
        <w:rPr>
          <w:rFonts w:eastAsia="黑体"/>
        </w:rPr>
        <w:t xml:space="preserve">  </w:t>
      </w:r>
      <w:r>
        <w:t xml:space="preserve">      </w:t>
      </w:r>
      <w:r>
        <w:rPr>
          <w:rFonts w:ascii="黑体" w:hAnsi="黑体" w:eastAsia="黑体"/>
        </w:rPr>
        <w:t xml:space="preserve">               </w:t>
      </w:r>
      <w:r>
        <w:rPr>
          <w:rFonts w:ascii="黑体" w:hAnsi="黑体" w:eastAsia="黑体"/>
          <w:sz w:val="24"/>
        </w:rPr>
        <w:t xml:space="preserve">    </w:t>
      </w:r>
      <w:r>
        <w:rPr>
          <w:rFonts w:ascii="黑体" w:hAnsi="黑体" w:eastAsia="黑体"/>
          <w:b/>
        </w:rPr>
        <w:t xml:space="preserve">                                 </w:t>
      </w:r>
    </w:p>
    <w:p>
      <w:pPr>
        <w:spacing w:line="300" w:lineRule="auto"/>
        <w:rPr>
          <w:sz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182245</wp:posOffset>
                </wp:positionV>
                <wp:extent cx="5589905" cy="0"/>
                <wp:effectExtent l="0" t="0" r="0" b="0"/>
                <wp:wrapNone/>
                <wp:docPr id="31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1.2pt;margin-top:14.35pt;height:0pt;width:440.15pt;z-index:251662336;mso-width-relative:page;mso-height-relative:page;" filled="f" stroked="t" coordsize="21600,21600" o:gfxdata="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oyrOTVAAAABwEAAA8AAAAAAAAAAQAgAAAAIgAAAGRycy9kb3ducmV2LnhtbFBLAQIU&#10;ABQAAAAIAIdO4kC3nqKp9gEAAOU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109855</wp:posOffset>
                </wp:positionV>
                <wp:extent cx="5521325" cy="0"/>
                <wp:effectExtent l="0" t="0" r="0" b="0"/>
                <wp:wrapNone/>
                <wp:docPr id="30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1.2pt;margin-top:8.65pt;height:0pt;width:434.75pt;z-index:251661312;mso-width-relative:page;mso-height-relative:page;" filled="f" stroked="f" coordsize="21600,21600" o:gfxdata="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EvAot1AAAAAcBAAAPAAAAAAAA&#10;AAEAIAAAACIAAABkcnMvZG93bnJldi54bWxQSwECFAAUAAAACACHTuJA21nCiKQBAAAwAwAADgAA&#10;AAAAAAABACAAAAAjAQAAZHJzL2Uyb0RvYy54bWxQSwUGAAAAAAYABgBZAQAAOQ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outlineLvl w:val="0"/>
        <w:rPr>
          <w:rFonts w:hint="eastAsia" w:ascii="宋体" w:hAnsi="宋体" w:eastAsia="宋体" w:cs="宋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  </w:t>
      </w:r>
      <w:r>
        <w:rPr>
          <w:rFonts w:hint="eastAsia" w:ascii="黑体" w:hAnsi="黑体" w:eastAsia="黑体" w:cs="黑体"/>
          <w:i/>
          <w:sz w:val="28"/>
        </w:rPr>
        <w:t xml:space="preserve"> </w:t>
      </w:r>
      <w:bookmarkStart w:id="0" w:name="_Toc2111"/>
      <w:bookmarkStart w:id="1" w:name="_Toc1377"/>
      <w:bookmarkStart w:id="2" w:name="_Toc8140"/>
      <w:bookmarkStart w:id="3" w:name="_Toc16463"/>
      <w:r>
        <w:rPr>
          <w:rFonts w:hint="eastAsia" w:ascii="黑体" w:hAnsi="黑体" w:eastAsia="黑体" w:cs="黑体"/>
          <w:spacing w:val="21"/>
          <w:sz w:val="28"/>
        </w:rPr>
        <w:t>归</w:t>
      </w:r>
      <w:r>
        <w:rPr>
          <w:rFonts w:hint="eastAsia" w:ascii="黑体" w:hAnsi="黑体" w:eastAsia="黑体" w:cs="黑体"/>
          <w:spacing w:val="21"/>
          <w:sz w:val="10"/>
          <w:szCs w:val="10"/>
        </w:rPr>
        <w:t xml:space="preserve"> </w:t>
      </w:r>
      <w:r>
        <w:rPr>
          <w:rFonts w:hint="eastAsia" w:ascii="黑体" w:hAnsi="黑体" w:eastAsia="黑体" w:cs="黑体"/>
          <w:spacing w:val="21"/>
          <w:sz w:val="28"/>
        </w:rPr>
        <w:t>口 单</w:t>
      </w:r>
      <w:r>
        <w:rPr>
          <w:rFonts w:hint="eastAsia" w:ascii="黑体" w:hAnsi="黑体" w:eastAsia="黑体" w:cs="黑体"/>
          <w:spacing w:val="21"/>
          <w:sz w:val="10"/>
          <w:szCs w:val="10"/>
        </w:rPr>
        <w:t xml:space="preserve"> </w:t>
      </w:r>
      <w:r>
        <w:rPr>
          <w:rFonts w:hint="eastAsia" w:ascii="黑体" w:hAnsi="黑体" w:eastAsia="黑体" w:cs="黑体"/>
          <w:spacing w:val="21"/>
          <w:sz w:val="28"/>
        </w:rPr>
        <w:t>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宋体" w:hAnsi="宋体" w:eastAsia="宋体" w:cs="宋体"/>
          <w:sz w:val="28"/>
        </w:rPr>
        <w:t>黑龙江省市场监督管理局</w:t>
      </w:r>
      <w:bookmarkEnd w:id="0"/>
      <w:bookmarkEnd w:id="1"/>
      <w:bookmarkEnd w:id="2"/>
      <w:bookmarkEnd w:id="3"/>
    </w:p>
    <w:p>
      <w:pPr>
        <w:spacing w:line="300" w:lineRule="auto"/>
        <w:outlineLvl w:val="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   </w:t>
      </w:r>
      <w:bookmarkStart w:id="4" w:name="_Toc25535"/>
      <w:bookmarkStart w:id="5" w:name="_Toc4605"/>
      <w:bookmarkStart w:id="6" w:name="_Toc6828"/>
      <w:bookmarkStart w:id="7" w:name="_Toc12215"/>
      <w:r>
        <w:rPr>
          <w:rFonts w:hint="eastAsia" w:ascii="黑体" w:hAnsi="黑体" w:eastAsia="黑体" w:cs="黑体"/>
          <w:sz w:val="28"/>
        </w:rPr>
        <w:t>主要起草单位：</w:t>
      </w:r>
      <w:r>
        <w:rPr>
          <w:rFonts w:hint="eastAsia" w:ascii="宋体" w:hAnsi="宋体" w:eastAsia="宋体" w:cs="宋体"/>
          <w:sz w:val="28"/>
        </w:rPr>
        <w:t>齐齐哈尔市检验检测中心</w:t>
      </w:r>
      <w:bookmarkEnd w:id="4"/>
      <w:bookmarkEnd w:id="5"/>
      <w:bookmarkEnd w:id="6"/>
      <w:bookmarkEnd w:id="7"/>
    </w:p>
    <w:p>
      <w:pPr>
        <w:spacing w:line="300" w:lineRule="auto"/>
        <w:ind w:firstLine="2240" w:firstLineChars="80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                </w:t>
      </w:r>
    </w:p>
    <w:p>
      <w:pPr>
        <w:tabs>
          <w:tab w:val="left" w:pos="4820"/>
        </w:tabs>
        <w:spacing w:line="300" w:lineRule="auto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tabs>
          <w:tab w:val="left" w:pos="4820"/>
        </w:tabs>
        <w:spacing w:line="300" w:lineRule="auto"/>
        <w:rPr>
          <w:sz w:val="28"/>
        </w:rPr>
      </w:pPr>
    </w:p>
    <w:p>
      <w:pPr>
        <w:tabs>
          <w:tab w:val="left" w:pos="4820"/>
        </w:tabs>
        <w:spacing w:line="300" w:lineRule="auto"/>
        <w:rPr>
          <w:sz w:val="28"/>
        </w:rPr>
      </w:pPr>
    </w:p>
    <w:p>
      <w:pPr>
        <w:tabs>
          <w:tab w:val="left" w:pos="4820"/>
        </w:tabs>
        <w:spacing w:line="300" w:lineRule="auto"/>
        <w:ind w:firstLine="1559" w:firstLineChars="557"/>
        <w:rPr>
          <w:sz w:val="28"/>
        </w:rPr>
      </w:pPr>
    </w:p>
    <w:p>
      <w:pPr>
        <w:tabs>
          <w:tab w:val="left" w:pos="4820"/>
        </w:tabs>
        <w:spacing w:line="300" w:lineRule="auto"/>
        <w:ind w:firstLine="1559" w:firstLineChars="557"/>
        <w:rPr>
          <w:sz w:val="28"/>
        </w:rPr>
      </w:pPr>
    </w:p>
    <w:p>
      <w:pPr>
        <w:tabs>
          <w:tab w:val="left" w:pos="4820"/>
        </w:tabs>
        <w:spacing w:line="300" w:lineRule="auto"/>
        <w:ind w:firstLine="1559" w:firstLineChars="557"/>
        <w:rPr>
          <w:sz w:val="28"/>
        </w:rPr>
      </w:pPr>
    </w:p>
    <w:p>
      <w:pPr>
        <w:tabs>
          <w:tab w:val="left" w:pos="4820"/>
        </w:tabs>
        <w:spacing w:before="468" w:beforeLines="150" w:line="300" w:lineRule="auto"/>
        <w:jc w:val="both"/>
        <w:rPr>
          <w:sz w:val="28"/>
        </w:rPr>
      </w:pPr>
      <w:r>
        <w:rPr>
          <w:sz w:val="28"/>
        </w:rPr>
        <w:t>本</w:t>
      </w:r>
      <w:r>
        <w:rPr>
          <w:rFonts w:hint="eastAsia"/>
          <w:sz w:val="28"/>
        </w:rPr>
        <w:t>规范</w:t>
      </w:r>
      <w:r>
        <w:rPr>
          <w:sz w:val="28"/>
        </w:rPr>
        <w:t>由</w:t>
      </w:r>
      <w:r>
        <w:rPr>
          <w:rFonts w:hint="eastAsia"/>
          <w:sz w:val="28"/>
        </w:rPr>
        <w:t>齐齐哈尔市检验检测中心</w:t>
      </w:r>
      <w:r>
        <w:rPr>
          <w:sz w:val="28"/>
        </w:rPr>
        <w:t>负责解释</w:t>
      </w:r>
    </w:p>
    <w:p>
      <w:pPr>
        <w:spacing w:line="300" w:lineRule="auto"/>
        <w:ind w:left="3480" w:hanging="3480" w:hangingChars="1450"/>
        <w:rPr>
          <w:sz w:val="24"/>
        </w:rPr>
        <w:sectPr>
          <w:footerReference r:id="rId7" w:type="default"/>
          <w:pgSz w:w="11906" w:h="16838"/>
          <w:pgMar w:top="1418" w:right="1418" w:bottom="1134" w:left="1701" w:header="850" w:footer="851" w:gutter="0"/>
          <w:pgNumType w:fmt="upperRoman" w:start="2"/>
          <w:cols w:space="720" w:num="1"/>
          <w:docGrid w:type="linesAndChars" w:linePitch="312" w:charSpace="0"/>
        </w:sectPr>
      </w:pPr>
      <w:r>
        <w:rPr>
          <w:sz w:val="24"/>
        </w:rPr>
        <w:br w:type="page"/>
      </w:r>
      <w:bookmarkStart w:id="8" w:name="_Toc386972803"/>
    </w:p>
    <w:p>
      <w:pPr>
        <w:spacing w:line="300" w:lineRule="auto"/>
        <w:ind w:left="3480" w:hanging="3480" w:hangingChars="1450"/>
        <w:rPr>
          <w:sz w:val="24"/>
        </w:rPr>
      </w:pPr>
    </w:p>
    <w:p>
      <w:pPr>
        <w:pStyle w:val="2"/>
        <w:rPr>
          <w:sz w:val="24"/>
          <w:szCs w:val="24"/>
        </w:rPr>
      </w:pPr>
    </w:p>
    <w:p>
      <w:pPr>
        <w:spacing w:line="300" w:lineRule="auto"/>
        <w:ind w:left="4060" w:hanging="4060" w:hangingChars="145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本规范主要起草人：</w:t>
      </w:r>
      <w:bookmarkEnd w:id="8"/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张天雪（齐齐哈尔市检验检测中心）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宋明谦（齐齐哈尔市检验检测中心）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戴  伟（大庆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市检验检测中心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陈  雷（齐齐哈尔市检验检测中心）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王暖强（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黑河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市检验检测中心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张宏宇（齐齐哈尔市检验检测中心）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付　佳（齐齐哈尔市检验检测中心）</w:t>
      </w:r>
    </w:p>
    <w:p>
      <w:pPr>
        <w:spacing w:line="300" w:lineRule="auto"/>
        <w:ind w:firstLine="700" w:firstLineChars="25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</w:rPr>
        <w:t>参加起草人：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孙菀彬（齐齐哈尔市检验检测中心）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王　妍（齐齐哈尔市检验检测中心）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詹　扬（齐齐哈尔市检验检测中心）</w:t>
      </w:r>
    </w:p>
    <w:p>
      <w:pPr>
        <w:spacing w:line="300" w:lineRule="auto"/>
      </w:pPr>
    </w:p>
    <w:p>
      <w:pPr>
        <w:spacing w:line="300" w:lineRule="auto"/>
        <w:rPr>
          <w:b/>
          <w:sz w:val="28"/>
        </w:rPr>
      </w:pPr>
    </w:p>
    <w:p>
      <w:pPr>
        <w:spacing w:line="300" w:lineRule="auto"/>
        <w:rPr>
          <w:rFonts w:eastAsia="黑体"/>
          <w:sz w:val="44"/>
        </w:rPr>
        <w:sectPr>
          <w:pgSz w:w="11906" w:h="16838"/>
          <w:pgMar w:top="1418" w:right="1418" w:bottom="1134" w:left="1701" w:header="850" w:footer="851" w:gutter="0"/>
          <w:pgNumType w:fmt="upperRoman" w:start="2"/>
          <w:cols w:space="720" w:num="1"/>
          <w:docGrid w:type="linesAndChars" w:linePitch="312" w:charSpace="0"/>
        </w:sectPr>
      </w:pPr>
    </w:p>
    <w:p>
      <w:pPr>
        <w:spacing w:line="300" w:lineRule="auto"/>
        <w:jc w:val="center"/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right"/>
        <w:rPr>
          <w:rFonts w:eastAsia="黑体"/>
          <w:sz w:val="44"/>
        </w:rPr>
        <w:sectPr>
          <w:type w:val="continuous"/>
          <w:pgSz w:w="11906" w:h="16838"/>
          <w:pgMar w:top="1418" w:right="1418" w:bottom="1418" w:left="1701" w:header="1587" w:footer="851" w:gutter="0"/>
          <w:pgNumType w:fmt="upperRoman" w:start="1"/>
          <w:cols w:space="720" w:num="1"/>
          <w:docGrid w:type="linesAndChars" w:linePitch="312" w:charSpace="0"/>
        </w:sectPr>
      </w:pPr>
    </w:p>
    <w:p>
      <w:pPr>
        <w:jc w:val="right"/>
        <w:rPr>
          <w:rFonts w:eastAsia="黑体"/>
          <w:sz w:val="44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514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黑体" w:hAnsi="黑体" w:eastAsia="黑体" w:cs="黑体"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sz w:val="44"/>
              <w:szCs w:val="44"/>
              <w:lang w:val="en-US" w:eastAsia="zh-CN"/>
            </w:rPr>
            <w:t xml:space="preserve">    </w:t>
          </w:r>
          <w:r>
            <w:rPr>
              <w:rFonts w:hint="eastAsia" w:ascii="黑体" w:hAnsi="黑体" w:eastAsia="黑体" w:cs="黑体"/>
              <w:sz w:val="44"/>
              <w:szCs w:val="44"/>
            </w:rPr>
            <w:t>录</w:t>
          </w:r>
        </w:p>
        <w:p>
          <w:pPr>
            <w:pStyle w:val="62"/>
            <w:tabs>
              <w:tab w:val="right" w:leader="dot" w:pos="8787"/>
            </w:tabs>
            <w:rPr>
              <w:b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_Toc3291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引言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Ⅱ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_Toc15261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1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范围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_Toc15261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_Toc3319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2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引用文件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_Toc3319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_Toc18908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3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概述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_Toc18908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_Toc20696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4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计量特性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_Toc20696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_Toc26057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4.1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厚度块厚度最大允许误差和厚度变动量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_Toc26057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_Toc16696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4.2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测量面的表面粗糙度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_Toc16696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_Toc22616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5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校准条件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_Toc22616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_Toc28189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5.1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环境条件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_Toc28189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_Toc21781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5.2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标准器及其他设备技术要求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_Toc21781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_Toc14915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6.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校准项目和校准方法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_Toc14915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_Toc17313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6.1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校准前准备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_Toc17313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_Toc15850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6.2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外观检查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_Toc15850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_Toc27980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6.3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厚度块示值误差和厚度变动量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_Toc27980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_Toc24152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7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校准结果表达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_Toc24152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_Toc22952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8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复校时间间隔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_Toc22952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_Toc21825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附录A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eastAsia="zh-CN"/>
            </w:rPr>
            <w:t>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_Toc15230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标准厚度块校准原始记录参考格式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_Toc15230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_Toc23646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附录B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eastAsia="zh-CN"/>
            </w:rPr>
            <w:t>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_Toc8932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标准厚度块校准证书内页参考格式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_Toc8932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_Toc10254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附录C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eastAsia="zh-CN"/>
            </w:rPr>
            <w:t>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_Toc20945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标准厚度块示值误差测量结果不确定度评定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_Toc20945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r>
            <w:rPr>
              <w:b/>
            </w:rPr>
            <w:fldChar w:fldCharType="end"/>
          </w:r>
        </w:p>
      </w:sdtContent>
    </w:sdt>
    <w:p>
      <w:pPr>
        <w:rPr>
          <w:rFonts w:ascii="黑体" w:hAnsi="黑体" w:eastAsia="黑体"/>
          <w:b w:val="0"/>
          <w:sz w:val="44"/>
        </w:rPr>
      </w:pPr>
      <w:bookmarkStart w:id="9" w:name="_Toc3291"/>
      <w:r>
        <w:rPr>
          <w:rFonts w:ascii="黑体" w:hAnsi="黑体" w:eastAsia="黑体"/>
          <w:b w:val="0"/>
          <w:sz w:val="44"/>
        </w:rPr>
        <w:br w:type="page"/>
      </w:r>
    </w:p>
    <w:p/>
    <w:p>
      <w:pPr>
        <w:pStyle w:val="20"/>
        <w:tabs>
          <w:tab w:val="right" w:leader="dot" w:pos="8777"/>
        </w:tabs>
        <w:spacing w:before="312" w:beforeLines="100" w:after="312" w:afterLines="100" w:line="360" w:lineRule="auto"/>
        <w:jc w:val="center"/>
        <w:outlineLvl w:val="0"/>
        <w:rPr>
          <w:rFonts w:ascii="黑体" w:hAnsi="黑体" w:eastAsia="黑体"/>
          <w:b w:val="0"/>
          <w:sz w:val="44"/>
        </w:rPr>
      </w:pPr>
      <w:r>
        <w:rPr>
          <w:rFonts w:ascii="黑体" w:hAnsi="黑体" w:eastAsia="黑体"/>
          <w:b w:val="0"/>
          <w:sz w:val="44"/>
        </w:rPr>
        <w:t>引    言</w:t>
      </w:r>
      <w:bookmarkEnd w:id="9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本规范依据</w:t>
      </w:r>
      <w:r>
        <w:rPr>
          <w:rFonts w:hint="eastAsia" w:ascii="宋体" w:hAnsi="宋体" w:eastAsia="宋体" w:cs="宋体"/>
          <w:caps/>
          <w:sz w:val="24"/>
        </w:rPr>
        <w:t>JJF 1071—2010</w:t>
      </w:r>
      <w:r>
        <w:rPr>
          <w:rFonts w:hint="eastAsia"/>
          <w:cap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《国家计量校准规范编写规则》、</w:t>
      </w:r>
      <w:r>
        <w:rPr>
          <w:rFonts w:hint="eastAsia" w:ascii="宋体" w:hAnsi="宋体" w:eastAsia="宋体" w:cs="宋体"/>
          <w:sz w:val="24"/>
        </w:rPr>
        <w:t>JJF 1001－2011《通用计量术语及定义》、JJF 1059.1－2012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《测量不确定度评定与表示》共同构</w:t>
      </w:r>
      <w:r>
        <w:rPr>
          <w:rFonts w:hint="eastAsia" w:ascii="宋体" w:hAnsi="宋体" w:cs="宋体"/>
          <w:sz w:val="24"/>
        </w:rPr>
        <w:t>成支撑本校准规范制定的基础性系列规范。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本规范首次发布。</w:t>
      </w:r>
    </w:p>
    <w:p>
      <w:pPr>
        <w:spacing w:line="300" w:lineRule="auto"/>
      </w:pPr>
    </w:p>
    <w:p>
      <w:pPr>
        <w:spacing w:line="300" w:lineRule="auto"/>
        <w:rPr>
          <w:rFonts w:ascii="黑体" w:hAnsi="黑体" w:eastAsia="黑体"/>
          <w:sz w:val="32"/>
          <w:szCs w:val="32"/>
        </w:rPr>
        <w:sectPr>
          <w:footerReference r:id="rId8" w:type="default"/>
          <w:pgSz w:w="11906" w:h="16838"/>
          <w:pgMar w:top="1418" w:right="1418" w:bottom="1418" w:left="1701" w:header="850" w:footer="851" w:gutter="0"/>
          <w:pgNumType w:fmt="upperRoman" w:start="1"/>
          <w:cols w:space="720" w:num="1"/>
          <w:docGrid w:type="linesAndChars" w:linePitch="312" w:charSpace="0"/>
        </w:sectPr>
      </w:pPr>
    </w:p>
    <w:p>
      <w:pPr>
        <w:spacing w:line="300" w:lineRule="auto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footerReference r:id="rId9" w:type="default"/>
          <w:type w:val="continuous"/>
          <w:pgSz w:w="11906" w:h="16838"/>
          <w:pgMar w:top="1418" w:right="1418" w:bottom="709" w:left="1701" w:header="851" w:footer="851" w:gutter="0"/>
          <w:pgNumType w:start="0"/>
          <w:cols w:space="720" w:num="1"/>
          <w:docGrid w:type="linesAndChars" w:linePitch="312" w:charSpace="0"/>
        </w:sectPr>
      </w:pPr>
    </w:p>
    <w:p>
      <w:pPr>
        <w:spacing w:before="312" w:beforeLines="100" w:after="312" w:afterLines="100" w:line="300" w:lineRule="auto"/>
        <w:jc w:val="center"/>
        <w:rPr>
          <w:rFonts w:ascii="黑体" w:hAnsi="黑体" w:eastAsia="黑体"/>
          <w:sz w:val="32"/>
          <w:szCs w:val="32"/>
        </w:rPr>
      </w:pPr>
      <w:bookmarkStart w:id="10" w:name="_Toc401579849"/>
      <w:bookmarkStart w:id="11" w:name="_Toc401809148"/>
      <w:bookmarkStart w:id="12" w:name="_Toc400202008"/>
      <w:bookmarkStart w:id="13" w:name="_Toc401579884"/>
      <w:bookmarkStart w:id="14" w:name="_Toc387051592"/>
      <w:bookmarkStart w:id="15" w:name="_Toc401533678"/>
      <w:r>
        <w:rPr>
          <w:rFonts w:hint="eastAsia" w:ascii="黑体" w:hAnsi="黑体" w:eastAsia="黑体"/>
          <w:sz w:val="32"/>
          <w:szCs w:val="32"/>
        </w:rPr>
        <w:t>标准厚度块校准规范</w:t>
      </w:r>
      <w:bookmarkStart w:id="16" w:name="_Toc401844863"/>
      <w:bookmarkStart w:id="17" w:name="_Toc1236"/>
      <w:bookmarkStart w:id="18" w:name="_Toc85639216"/>
      <w:bookmarkStart w:id="19" w:name="_Toc16753"/>
    </w:p>
    <w:p>
      <w:pPr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20" w:name="_Toc15261"/>
      <w:bookmarkStart w:id="21" w:name="_Toc13721"/>
      <w:r>
        <w:rPr>
          <w:rFonts w:hint="eastAsia" w:ascii="黑体" w:hAnsi="黑体" w:eastAsia="黑体" w:cs="黑体"/>
          <w:sz w:val="24"/>
        </w:rPr>
        <w:t xml:space="preserve">1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="黑体" w:hAnsi="黑体" w:eastAsia="黑体" w:cs="黑体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本规范适用于校准超声波测厚仪、厚度为</w:t>
      </w:r>
      <w:r>
        <w:rPr>
          <w:rFonts w:hint="eastAsia"/>
          <w:caps/>
          <w:sz w:val="24"/>
        </w:rPr>
        <w:t>(</w:t>
      </w:r>
      <w:r>
        <w:rPr>
          <w:rFonts w:hint="eastAsia" w:ascii="宋体" w:hAnsi="宋体" w:eastAsia="宋体" w:cs="宋体"/>
          <w:caps/>
          <w:sz w:val="24"/>
        </w:rPr>
        <w:t>0.5</w:t>
      </w:r>
      <w:r>
        <w:rPr>
          <w:rFonts w:hint="eastAsia"/>
          <w:caps/>
          <w:sz w:val="24"/>
        </w:rPr>
        <w:t>~</w:t>
      </w:r>
      <w:r>
        <w:rPr>
          <w:rFonts w:hint="eastAsia" w:ascii="宋体" w:hAnsi="宋体" w:eastAsia="宋体" w:cs="宋体"/>
          <w:caps/>
          <w:sz w:val="24"/>
        </w:rPr>
        <w:t>200</w:t>
      </w:r>
      <w:r>
        <w:rPr>
          <w:rFonts w:hint="eastAsia"/>
          <w:caps/>
          <w:sz w:val="24"/>
        </w:rPr>
        <w:t>)</w:t>
      </w:r>
      <w:r>
        <w:rPr>
          <w:rFonts w:hint="eastAsia"/>
          <w:cap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mm标准厚度块（以下简称“厚度块”)的校准。</w:t>
      </w:r>
      <w:bookmarkStart w:id="22" w:name="_Toc387051593"/>
      <w:bookmarkStart w:id="23" w:name="_Toc386972805"/>
      <w:bookmarkStart w:id="24" w:name="_Toc401844864"/>
      <w:bookmarkStart w:id="25" w:name="_Toc85639217"/>
      <w:bookmarkStart w:id="26" w:name="_Toc401533679"/>
      <w:bookmarkStart w:id="27" w:name="_Toc400202009"/>
      <w:bookmarkStart w:id="28" w:name="_Toc401809149"/>
      <w:bookmarkStart w:id="29" w:name="_Toc14097"/>
      <w:bookmarkStart w:id="30" w:name="_Toc401579850"/>
      <w:bookmarkStart w:id="31" w:name="_Toc1028"/>
      <w:bookmarkStart w:id="32" w:name="_Toc401579885"/>
    </w:p>
    <w:p>
      <w:pPr>
        <w:outlineLvl w:val="0"/>
        <w:rPr>
          <w:rFonts w:ascii="黑体" w:hAnsi="黑体" w:eastAsia="黑体" w:cs="黑体"/>
          <w:sz w:val="24"/>
        </w:rPr>
      </w:pPr>
      <w:bookmarkStart w:id="33" w:name="_Toc3319"/>
      <w:bookmarkStart w:id="34" w:name="_Toc21620"/>
      <w:r>
        <w:rPr>
          <w:rFonts w:hint="eastAsia" w:ascii="黑体" w:hAnsi="黑体" w:eastAsia="黑体" w:cs="黑体"/>
          <w:sz w:val="24"/>
        </w:rPr>
        <w:t xml:space="preserve">2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引用文</w:t>
      </w:r>
      <w:bookmarkEnd w:id="22"/>
      <w:bookmarkEnd w:id="23"/>
      <w:r>
        <w:rPr>
          <w:rFonts w:hint="eastAsia" w:ascii="黑体" w:hAnsi="黑体" w:eastAsia="黑体" w:cs="黑体"/>
          <w:sz w:val="24"/>
        </w:rPr>
        <w:t>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 w:val="0"/>
          <w:sz w:val="24"/>
          <w:szCs w:val="21"/>
        </w:rPr>
      </w:pPr>
      <w:r>
        <w:rPr>
          <w:rFonts w:hint="eastAsia" w:ascii="宋体" w:hAnsi="宋体" w:eastAsia="宋体"/>
          <w:b w:val="0"/>
          <w:sz w:val="24"/>
          <w:szCs w:val="21"/>
        </w:rPr>
        <w:t>本规范引用了下列文件：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/>
          <w:sz w:val="24"/>
        </w:rPr>
      </w:pPr>
      <w:r>
        <w:rPr>
          <w:rFonts w:hint="eastAsia" w:ascii="宋体" w:hAnsi="宋体" w:eastAsia="宋体" w:cs="宋体"/>
          <w:caps/>
          <w:sz w:val="24"/>
        </w:rPr>
        <w:t xml:space="preserve">JJG 146—2011 </w:t>
      </w:r>
      <w:r>
        <w:rPr>
          <w:rFonts w:hint="eastAsia" w:ascii="宋体" w:hAnsi="宋体" w:eastAsia="宋体" w:cs="宋体"/>
          <w:bCs/>
          <w:sz w:val="24"/>
          <w:szCs w:val="21"/>
        </w:rPr>
        <w:t>量块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 w:eastAsia="宋体" w:cs="宋体"/>
          <w:bCs/>
          <w:sz w:val="24"/>
          <w:szCs w:val="21"/>
        </w:rPr>
      </w:pPr>
      <w:bookmarkStart w:id="35" w:name="_Toc14954"/>
      <w:bookmarkStart w:id="36" w:name="_Toc3325"/>
      <w:bookmarkStart w:id="37" w:name="_Toc31855"/>
      <w:r>
        <w:rPr>
          <w:rFonts w:hint="eastAsia" w:ascii="宋体" w:hAnsi="宋体" w:eastAsia="宋体" w:cs="宋体"/>
          <w:caps/>
          <w:sz w:val="24"/>
        </w:rPr>
        <w:t>JJF 1126—2004</w:t>
      </w:r>
      <w:r>
        <w:rPr>
          <w:rFonts w:hint="eastAsia" w:ascii="宋体" w:hAnsi="宋体" w:eastAsia="宋体" w:cs="宋体"/>
          <w:bCs/>
          <w:sz w:val="24"/>
          <w:szCs w:val="21"/>
        </w:rPr>
        <w:t xml:space="preserve"> 超声波测厚仪校准规范</w:t>
      </w:r>
      <w:bookmarkEnd w:id="35"/>
      <w:bookmarkEnd w:id="36"/>
      <w:bookmarkEnd w:id="37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凡是注日期的引用文件，仅注日期的版本适用于本规范；凡是不注日期的引用文件，其最新版本（包括所有修</w:t>
      </w:r>
      <w:r>
        <w:rPr>
          <w:rFonts w:hint="eastAsia"/>
          <w:sz w:val="24"/>
        </w:rPr>
        <w:t>改</w:t>
      </w:r>
      <w:r>
        <w:rPr>
          <w:sz w:val="24"/>
        </w:rPr>
        <w:t>单）适用于本规范。</w:t>
      </w:r>
      <w:bookmarkStart w:id="38" w:name="_Toc401809151"/>
      <w:bookmarkStart w:id="39" w:name="_Toc401533681"/>
      <w:bookmarkStart w:id="40" w:name="_Toc401579887"/>
      <w:bookmarkStart w:id="41" w:name="_Toc85639219"/>
      <w:bookmarkStart w:id="42" w:name="_Toc401844866"/>
      <w:bookmarkStart w:id="43" w:name="_Toc16684"/>
      <w:bookmarkStart w:id="44" w:name="_Toc386972806"/>
      <w:bookmarkStart w:id="45" w:name="_Toc13816"/>
      <w:bookmarkStart w:id="46" w:name="_Toc387051595"/>
      <w:bookmarkStart w:id="47" w:name="_Toc400202011"/>
      <w:bookmarkStart w:id="48" w:name="_Toc401579852"/>
    </w:p>
    <w:p>
      <w:pPr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49" w:name="_Toc18908"/>
      <w:bookmarkStart w:id="50" w:name="_Toc12763"/>
      <w:r>
        <w:rPr>
          <w:rFonts w:hint="eastAsia" w:ascii="黑体" w:hAnsi="黑体" w:eastAsia="黑体" w:cs="黑体"/>
          <w:sz w:val="24"/>
        </w:rPr>
        <w:t xml:space="preserve">3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概述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30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厚度块是一种端面厚度标准，是对超声波测厚仪示值误差进行校准的专用标准计量量具。</w:t>
      </w:r>
    </w:p>
    <w:p>
      <w:pPr>
        <w:pStyle w:val="61"/>
        <w:overflowPunct w:val="0"/>
        <w:autoSpaceDE w:val="0"/>
        <w:autoSpaceDN w:val="0"/>
        <w:spacing w:line="360" w:lineRule="auto"/>
        <w:outlineLvl w:val="0"/>
        <w:rPr>
          <w:color w:val="000000"/>
          <w:sz w:val="24"/>
        </w:rPr>
      </w:pPr>
      <w:bookmarkStart w:id="51" w:name="_Toc15627"/>
      <w:bookmarkStart w:id="52" w:name="_Toc401579888"/>
      <w:bookmarkStart w:id="53" w:name="_Toc387051596"/>
      <w:bookmarkStart w:id="54" w:name="_Toc22063"/>
      <w:bookmarkStart w:id="55" w:name="_Toc400202012"/>
      <w:bookmarkStart w:id="56" w:name="_Toc401844867"/>
      <w:bookmarkStart w:id="57" w:name="_Toc401579853"/>
      <w:bookmarkStart w:id="58" w:name="_Toc4358"/>
      <w:bookmarkStart w:id="59" w:name="_Toc401533682"/>
      <w:bookmarkStart w:id="60" w:name="_Toc85639220"/>
      <w:bookmarkStart w:id="61" w:name="_Toc20696"/>
      <w:bookmarkStart w:id="62" w:name="_Toc401809152"/>
      <w:bookmarkStart w:id="63" w:name="_Toc386972807"/>
      <w:r>
        <w:rPr>
          <w:rFonts w:hint="eastAsia" w:ascii="黑体" w:hAnsi="黑体" w:eastAsia="黑体" w:cs="黑体"/>
          <w:color w:val="000000"/>
          <w:sz w:val="24"/>
        </w:rPr>
        <w:t xml:space="preserve">4 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</w:rPr>
        <w:t>计量特性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Start w:id="64" w:name="_Toc387051597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color w:val="000000"/>
          <w:sz w:val="24"/>
        </w:rPr>
      </w:pPr>
      <w:bookmarkStart w:id="65" w:name="_Toc32102"/>
      <w:bookmarkStart w:id="66" w:name="_Toc85639222"/>
      <w:bookmarkStart w:id="67" w:name="_Toc18287"/>
      <w:bookmarkStart w:id="68" w:name="_Toc26057"/>
      <w:bookmarkStart w:id="69" w:name="_Toc30373"/>
      <w:r>
        <w:rPr>
          <w:rFonts w:hint="eastAsia" w:ascii="宋体" w:hAnsi="宋体" w:eastAsia="宋体" w:cs="宋体"/>
          <w:color w:val="000000"/>
          <w:sz w:val="24"/>
        </w:rPr>
        <w:t xml:space="preserve">4.1 </w:t>
      </w:r>
      <w:bookmarkEnd w:id="65"/>
      <w:bookmarkEnd w:id="66"/>
      <w:bookmarkEnd w:id="67"/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厚度块厚度最大允许误差和厚度变动量</w:t>
      </w:r>
      <w:bookmarkEnd w:id="68"/>
      <w:bookmarkEnd w:id="69"/>
    </w:p>
    <w:p>
      <w:pPr>
        <w:pStyle w:val="61"/>
        <w:overflowPunct w:val="0"/>
        <w:autoSpaceDE w:val="0"/>
        <w:autoSpaceDN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厚度块厚度最大允许误差和厚度变动量应不超过表</w:t>
      </w:r>
      <w:r>
        <w:rPr>
          <w:rFonts w:hint="eastAsia" w:ascii="宋体" w:hAnsi="宋体" w:eastAsia="宋体" w:cs="宋体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规定。</w:t>
      </w:r>
    </w:p>
    <w:p>
      <w:pPr>
        <w:pStyle w:val="61"/>
        <w:overflowPunct w:val="0"/>
        <w:autoSpaceDE w:val="0"/>
        <w:autoSpaceDN w:val="0"/>
        <w:spacing w:line="360" w:lineRule="auto"/>
        <w:jc w:val="center"/>
        <w:rPr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表1 厚度块厚度最大允许误差和厚度变动量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标称厚度 </w:t>
            </w:r>
            <w:r>
              <w:rPr>
                <w:rFonts w:hint="eastAsia" w:ascii="宋体" w:hAnsi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/mm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最大允许误差 /mm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厚度变动量  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±0.01</w:t>
            </w:r>
          </w:p>
        </w:tc>
        <w:tc>
          <w:tcPr>
            <w:tcW w:w="3020" w:type="dxa"/>
            <w:vMerge w:val="restart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10&lt;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75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±0.02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75&lt;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200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±0.05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61"/>
        <w:overflowPunct w:val="0"/>
        <w:autoSpaceDE w:val="0"/>
        <w:autoSpaceDN w:val="0"/>
        <w:spacing w:line="360" w:lineRule="auto"/>
        <w:outlineLvl w:val="1"/>
        <w:rPr>
          <w:color w:val="000000"/>
          <w:sz w:val="24"/>
        </w:rPr>
      </w:pPr>
      <w:bookmarkStart w:id="70" w:name="_Toc16696"/>
      <w:bookmarkStart w:id="71" w:name="_Toc8127"/>
      <w:r>
        <w:rPr>
          <w:rFonts w:hint="eastAsia" w:ascii="宋体" w:hAnsi="宋体" w:eastAsia="宋体" w:cs="宋体"/>
          <w:color w:val="000000"/>
          <w:sz w:val="24"/>
        </w:rPr>
        <w:t>4.2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测量面的表面粗糙度</w:t>
      </w:r>
      <w:bookmarkEnd w:id="70"/>
      <w:bookmarkEnd w:id="71"/>
    </w:p>
    <w:p>
      <w:pPr>
        <w:pStyle w:val="61"/>
        <w:overflowPunct w:val="0"/>
        <w:autoSpaceDE w:val="0"/>
        <w:autoSpaceDN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　　厚度块的工作面的表面粗糙度不超过</w:t>
      </w:r>
      <w:r>
        <w:rPr>
          <w:rFonts w:hint="eastAsia"/>
          <w:i/>
          <w:iCs/>
          <w:color w:val="000000"/>
          <w:sz w:val="24"/>
        </w:rPr>
        <w:t>R</w:t>
      </w:r>
      <w:r>
        <w:rPr>
          <w:rFonts w:hint="eastAsia"/>
          <w:color w:val="000000"/>
          <w:sz w:val="24"/>
          <w:vertAlign w:val="subscript"/>
        </w:rPr>
        <w:t>a</w:t>
      </w:r>
      <w:r>
        <w:rPr>
          <w:rFonts w:hint="eastAsia" w:ascii="宋体" w:hAnsi="宋体" w:eastAsia="宋体" w:cs="宋体"/>
          <w:color w:val="000000"/>
          <w:sz w:val="24"/>
        </w:rPr>
        <w:t>0.40</w:t>
      </w:r>
      <m:oMath>
        <m:r>
          <m:rPr>
            <m:sty m:val="p"/>
          </m:rPr>
          <w:rPr>
            <w:rFonts w:hint="default" w:ascii="Cambria Math"/>
            <w:color w:val="000000"/>
            <w:sz w:val="24"/>
            <w:lang w:val="en-US" w:eastAsia="zh-CN"/>
          </w:rPr>
          <m:t xml:space="preserve"> </m:t>
        </m:r>
        <m:r>
          <m:rPr>
            <m:sty m:val="p"/>
          </m:rPr>
          <w:rPr>
            <w:rFonts w:ascii="Cambria Math" w:hAnsi="Cambria Math" w:cs="宋体"/>
            <w:sz w:val="24"/>
          </w:rPr>
          <m:t>μm</m:t>
        </m:r>
      </m:oMath>
      <w:r>
        <w:rPr>
          <w:rFonts w:hint="eastAsia"/>
          <w:color w:val="000000"/>
          <w:sz w:val="24"/>
        </w:rPr>
        <w:t>。</w:t>
      </w:r>
    </w:p>
    <w:bookmarkEnd w:id="63"/>
    <w:bookmarkEnd w:id="64"/>
    <w:p>
      <w:pPr>
        <w:pStyle w:val="61"/>
        <w:overflowPunct w:val="0"/>
        <w:autoSpaceDE w:val="0"/>
        <w:autoSpaceDN w:val="0"/>
        <w:spacing w:line="360" w:lineRule="auto"/>
        <w:ind w:firstLine="420" w:firstLineChars="200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注：校准工作无合格与否的结论，上述计量特性要求仅供参考。</w:t>
      </w:r>
    </w:p>
    <w:p>
      <w:pPr>
        <w:pStyle w:val="61"/>
        <w:overflowPunct w:val="0"/>
        <w:autoSpaceDE w:val="0"/>
        <w:autoSpaceDN w:val="0"/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72" w:name="_Toc32120"/>
      <w:bookmarkStart w:id="73" w:name="_Toc22616"/>
      <w:r>
        <w:rPr>
          <w:rFonts w:hint="eastAsia" w:ascii="黑体" w:hAnsi="黑体" w:eastAsia="黑体" w:cs="黑体"/>
          <w:sz w:val="24"/>
        </w:rPr>
        <w:t xml:space="preserve">5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校准条件</w:t>
      </w:r>
      <w:bookmarkEnd w:id="72"/>
      <w:bookmarkEnd w:id="73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rFonts w:hint="eastAsia" w:ascii="宋体" w:hAnsi="宋体" w:eastAsia="宋体" w:cs="宋体"/>
          <w:sz w:val="24"/>
        </w:rPr>
      </w:pPr>
      <w:bookmarkStart w:id="74" w:name="_Toc28189"/>
      <w:bookmarkStart w:id="75" w:name="_Toc16189"/>
      <w:r>
        <w:rPr>
          <w:rFonts w:hint="eastAsia" w:ascii="宋体" w:hAnsi="宋体" w:eastAsia="宋体" w:cs="宋体"/>
          <w:sz w:val="24"/>
        </w:rPr>
        <w:t xml:space="preserve">5.1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环境条件</w:t>
      </w:r>
      <w:bookmarkEnd w:id="74"/>
      <w:bookmarkEnd w:id="75"/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5.1.1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校准温度：</w:t>
      </w:r>
      <w:r>
        <w:rPr>
          <w:rFonts w:hint="eastAsia" w:ascii="宋体" w:hAnsi="宋体" w:eastAsia="宋体" w:cs="宋体"/>
          <w:sz w:val="24"/>
        </w:rPr>
        <w:t>（20</w:t>
      </w:r>
      <w:r>
        <w:rPr>
          <w:rFonts w:hint="eastAsia" w:ascii="宋体" w:hAnsi="宋体" w:eastAsia="宋体" w:cs="宋体"/>
          <w:szCs w:val="21"/>
        </w:rPr>
        <w:t>±</w:t>
      </w:r>
      <w:r>
        <w:rPr>
          <w:rFonts w:hint="eastAsia" w:ascii="宋体" w:hAnsi="宋体" w:eastAsia="宋体" w:cs="宋体"/>
          <w:sz w:val="24"/>
        </w:rPr>
        <w:t>5）℃。</w:t>
      </w:r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5.1.2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校准湿度：相对湿度应小于等于60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％。</w:t>
      </w:r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sz w:val="24"/>
        </w:rPr>
      </w:pPr>
      <w:bookmarkStart w:id="76" w:name="_Toc19660"/>
      <w:bookmarkStart w:id="77" w:name="_Toc21781"/>
      <w:r>
        <w:rPr>
          <w:rFonts w:hint="eastAsia" w:ascii="宋体" w:hAnsi="宋体" w:eastAsia="宋体" w:cs="宋体"/>
          <w:sz w:val="24"/>
        </w:rPr>
        <w:t>5.2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标准器及其他设备</w:t>
      </w:r>
      <w:bookmarkEnd w:id="76"/>
      <w:r>
        <w:rPr>
          <w:rFonts w:hint="eastAsia"/>
          <w:sz w:val="24"/>
        </w:rPr>
        <w:t>技术要求</w:t>
      </w:r>
      <w:bookmarkEnd w:id="77"/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　　厚度块的标准器及其他设备技术要求见表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/>
          <w:sz w:val="24"/>
        </w:rPr>
        <w:t>。</w:t>
      </w:r>
    </w:p>
    <w:p>
      <w:pPr>
        <w:pStyle w:val="61"/>
        <w:overflowPunct w:val="0"/>
        <w:autoSpaceDE w:val="0"/>
        <w:autoSpaceDN w:val="0"/>
        <w:spacing w:line="360" w:lineRule="auto"/>
        <w:jc w:val="center"/>
        <w:rPr>
          <w:sz w:val="24"/>
        </w:rPr>
      </w:pPr>
      <w:r>
        <w:rPr>
          <w:rFonts w:hint="eastAsia" w:ascii="黑体" w:hAnsi="黑体" w:eastAsia="黑体" w:cs="黑体"/>
          <w:b/>
          <w:bCs/>
          <w:szCs w:val="21"/>
        </w:rPr>
        <w:t xml:space="preserve">表 </w:t>
      </w:r>
      <w:r>
        <w:rPr>
          <w:rFonts w:eastAsia="黑体"/>
          <w:b/>
          <w:bCs/>
          <w:szCs w:val="21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>标准器及其他设备技术要求</w:t>
      </w:r>
    </w:p>
    <w:tbl>
      <w:tblPr>
        <w:tblStyle w:val="30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409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校准用标准器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量块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级（</w:t>
            </w:r>
            <w:r>
              <w:rPr>
                <w:rFonts w:hint="eastAsia" w:ascii="宋体" w:hAnsi="宋体" w:cs="宋体"/>
                <w:sz w:val="24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）量块及以上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光学计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MPE：±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0.25</w:t>
            </w:r>
            <m:oMath>
              <m:r>
                <m:rPr>
                  <m:sty m:val="p"/>
                </m:rPr>
                <w:rPr>
                  <w:rFonts w:hint="default" w:ascii="Cambria Math" w:hAnsi="Calibri"/>
                  <w:color w:val="000000"/>
                  <w:szCs w:val="21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μm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测长机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MPE：±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(0.5+L/100)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 xml:space="preserve"> μm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bookmarkStart w:id="78" w:name="_Toc3065"/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表面粗糙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度</w:t>
            </w:r>
            <w:r>
              <w:rPr>
                <w:rFonts w:hint="eastAsia" w:ascii="宋体" w:hAnsi="宋体" w:cs="宋体"/>
                <w:szCs w:val="21"/>
              </w:rPr>
              <w:t>样块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color w:val="000000"/>
                <w:sz w:val="24"/>
              </w:rPr>
              <w:t>R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vertAlign w:val="subscript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0.40</w:t>
            </w:r>
            <w:r>
              <w:rPr>
                <w:rFonts w:hint="eastAsia" w:ascii="Calibri" w:hAnsi="Calibri"/>
                <w:color w:val="000000"/>
                <w:sz w:val="24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μm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温度计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(0～50)℃ 分度值：0.1℃</w:t>
            </w:r>
          </w:p>
        </w:tc>
      </w:tr>
    </w:tbl>
    <w:p>
      <w:pPr>
        <w:pStyle w:val="61"/>
        <w:numPr>
          <w:ilvl w:val="0"/>
          <w:numId w:val="1"/>
        </w:numPr>
        <w:overflowPunct w:val="0"/>
        <w:autoSpaceDE w:val="0"/>
        <w:autoSpaceDN w:val="0"/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79" w:name="_Toc14915"/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校准项目和校准方法</w:t>
      </w:r>
      <w:bookmarkEnd w:id="78"/>
      <w:bookmarkEnd w:id="79"/>
    </w:p>
    <w:p>
      <w:pPr>
        <w:pStyle w:val="61"/>
        <w:numPr>
          <w:ilvl w:val="255"/>
          <w:numId w:val="0"/>
        </w:numPr>
        <w:overflowPunct w:val="0"/>
        <w:autoSpaceDE w:val="0"/>
        <w:autoSpaceDN w:val="0"/>
        <w:spacing w:line="360" w:lineRule="auto"/>
        <w:outlineLvl w:val="1"/>
        <w:rPr>
          <w:sz w:val="24"/>
        </w:rPr>
      </w:pPr>
      <w:bookmarkStart w:id="80" w:name="_Toc17313"/>
      <w:r>
        <w:rPr>
          <w:rFonts w:hint="eastAsia" w:ascii="宋体" w:hAnsi="宋体" w:eastAsia="宋体" w:cs="宋体"/>
          <w:sz w:val="24"/>
        </w:rPr>
        <w:t>6.1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/>
          <w:sz w:val="24"/>
        </w:rPr>
        <w:t>校准前准备</w:t>
      </w:r>
      <w:bookmarkEnd w:id="80"/>
    </w:p>
    <w:p>
      <w:pPr>
        <w:pStyle w:val="61"/>
        <w:numPr>
          <w:ilvl w:val="255"/>
          <w:numId w:val="0"/>
        </w:numPr>
        <w:overflowPunct w:val="0"/>
        <w:autoSpaceDE w:val="0"/>
        <w:autoSpaceDN w:val="0"/>
        <w:spacing w:line="360" w:lineRule="auto"/>
        <w:ind w:firstLine="480" w:firstLineChars="200"/>
        <w:outlineLvl w:val="0"/>
        <w:rPr>
          <w:rFonts w:ascii="黑体" w:hAnsi="黑体" w:eastAsia="黑体" w:cs="黑体"/>
          <w:sz w:val="24"/>
        </w:rPr>
      </w:pPr>
      <w:bookmarkStart w:id="81" w:name="_Toc10048"/>
      <w:bookmarkStart w:id="82" w:name="_Toc14446"/>
      <w:r>
        <w:rPr>
          <w:rFonts w:hint="eastAsia"/>
          <w:sz w:val="24"/>
        </w:rPr>
        <w:t>校准前，应将被校厚度块及所用标准器及其他设备置于恒温室内，其平衡温度时间不少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h</w:t>
      </w:r>
      <w:r>
        <w:rPr>
          <w:rFonts w:hint="eastAsia"/>
          <w:sz w:val="24"/>
        </w:rPr>
        <w:t>。</w:t>
      </w:r>
      <w:bookmarkEnd w:id="81"/>
      <w:bookmarkEnd w:id="82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sz w:val="24"/>
        </w:rPr>
      </w:pPr>
      <w:bookmarkStart w:id="83" w:name="_Toc13722"/>
      <w:bookmarkStart w:id="84" w:name="_Toc15850"/>
      <w:r>
        <w:rPr>
          <w:rFonts w:hint="eastAsia" w:ascii="宋体" w:hAnsi="宋体" w:eastAsia="宋体" w:cs="宋体"/>
          <w:sz w:val="24"/>
        </w:rPr>
        <w:t>6.2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/>
          <w:sz w:val="24"/>
        </w:rPr>
        <w:t>外观</w:t>
      </w:r>
      <w:bookmarkEnd w:id="83"/>
      <w:r>
        <w:rPr>
          <w:rFonts w:hint="eastAsia"/>
          <w:sz w:val="24"/>
        </w:rPr>
        <w:t>检查</w:t>
      </w:r>
      <w:bookmarkEnd w:id="84"/>
    </w:p>
    <w:p>
      <w:pPr>
        <w:pStyle w:val="61"/>
        <w:overflowPunct w:val="0"/>
        <w:autoSpaceDE w:val="0"/>
        <w:autoSpaceDN w:val="0"/>
        <w:spacing w:line="360" w:lineRule="auto"/>
        <w:ind w:firstLine="480" w:firstLineChars="200"/>
        <w:outlineLvl w:val="1"/>
        <w:rPr>
          <w:sz w:val="24"/>
        </w:rPr>
      </w:pPr>
      <w:bookmarkStart w:id="85" w:name="_Toc18305"/>
      <w:bookmarkStart w:id="86" w:name="_Toc13128"/>
      <w:bookmarkStart w:id="87" w:name="_Toc26412"/>
      <w:r>
        <w:rPr>
          <w:rFonts w:hint="eastAsia"/>
          <w:color w:val="000000"/>
          <w:sz w:val="24"/>
        </w:rPr>
        <w:t>新制造厚度块的测量面和侧面，不应有划痕、碰伤、锈蚀；使用中和修理后的厚度块的测量面和侧面上，允许有不妨碍正常使用的上述缺陷。</w:t>
      </w:r>
      <w:bookmarkEnd w:id="85"/>
      <w:bookmarkEnd w:id="86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rFonts w:hint="eastAsia" w:ascii="宋体" w:hAnsi="宋体" w:eastAsia="宋体" w:cs="宋体"/>
          <w:sz w:val="24"/>
        </w:rPr>
      </w:pPr>
      <w:bookmarkStart w:id="88" w:name="_Toc27980"/>
      <w:r>
        <w:rPr>
          <w:rFonts w:hint="eastAsia" w:ascii="宋体" w:hAnsi="宋体" w:eastAsia="宋体" w:cs="宋体"/>
          <w:sz w:val="24"/>
        </w:rPr>
        <w:t xml:space="preserve">6.3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厚度块示值误差和厚度变动量</w:t>
      </w:r>
      <w:bookmarkEnd w:id="87"/>
      <w:bookmarkEnd w:id="88"/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6.3.1　厚度块示值误差</w:t>
      </w:r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>6.3.1　对于</w:t>
      </w:r>
      <w:r>
        <w:rPr>
          <w:rFonts w:hint="eastAsia"/>
          <w:sz w:val="24"/>
        </w:rPr>
        <w:t>厚度标称尺寸小于等于</w:t>
      </w:r>
      <w:r>
        <w:rPr>
          <w:rFonts w:hint="eastAsia" w:ascii="宋体" w:hAnsi="宋体" w:eastAsia="宋体" w:cs="宋体"/>
          <w:sz w:val="24"/>
        </w:rPr>
        <w:t>100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mm</w:t>
      </w:r>
      <w:r>
        <w:rPr>
          <w:rFonts w:hint="eastAsia"/>
          <w:sz w:val="24"/>
        </w:rPr>
        <w:t>的厚度块，使用光学</w:t>
      </w:r>
      <w:r>
        <w:rPr>
          <w:rFonts w:hint="eastAsia" w:ascii="宋体" w:hAnsi="宋体" w:eastAsia="宋体" w:cs="宋体"/>
          <w:sz w:val="24"/>
        </w:rPr>
        <w:t>计和3级（或5等）</w:t>
      </w:r>
      <w:r>
        <w:rPr>
          <w:rFonts w:hint="eastAsia"/>
          <w:sz w:val="24"/>
        </w:rPr>
        <w:t>量块或厚度标称尺寸大于</w:t>
      </w:r>
      <w:r>
        <w:rPr>
          <w:rFonts w:hint="eastAsia" w:ascii="宋体" w:hAnsi="宋体" w:eastAsia="宋体" w:cs="宋体"/>
          <w:sz w:val="24"/>
        </w:rPr>
        <w:t>100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mm</w:t>
      </w:r>
      <w:r>
        <w:rPr>
          <w:rFonts w:hint="eastAsia"/>
          <w:sz w:val="24"/>
        </w:rPr>
        <w:t>的厚度块，使用测</w:t>
      </w:r>
      <w:r>
        <w:rPr>
          <w:rFonts w:hint="eastAsia" w:ascii="宋体" w:hAnsi="宋体" w:eastAsia="宋体" w:cs="宋体"/>
          <w:sz w:val="24"/>
        </w:rPr>
        <w:t>长机和3级（或5等）</w:t>
      </w:r>
      <w:r>
        <w:rPr>
          <w:rFonts w:hint="eastAsia"/>
          <w:sz w:val="24"/>
        </w:rPr>
        <w:t>量块,均采用比较方法测量。</w:t>
      </w:r>
    </w:p>
    <w:p>
      <w:pPr>
        <w:pStyle w:val="61"/>
        <w:overflowPunct w:val="0"/>
        <w:autoSpaceDE w:val="0"/>
        <w:autoSpaceDN w:val="0"/>
        <w:spacing w:line="360" w:lineRule="auto"/>
        <w:ind w:firstLine="484"/>
        <w:rPr>
          <w:sz w:val="24"/>
        </w:rPr>
      </w:pPr>
      <w:r>
        <w:rPr>
          <w:rFonts w:hint="eastAsia"/>
          <w:sz w:val="24"/>
        </w:rPr>
        <w:t>将</w:t>
      </w:r>
      <w:r>
        <w:rPr>
          <w:rFonts w:hint="eastAsia" w:ascii="宋体" w:hAnsi="宋体" w:eastAsia="宋体" w:cs="宋体"/>
          <w:sz w:val="24"/>
        </w:rPr>
        <w:t>3级（或5等</w:t>
      </w:r>
      <w:r>
        <w:rPr>
          <w:rFonts w:hint="eastAsia"/>
          <w:sz w:val="24"/>
        </w:rPr>
        <w:t>）量块与对应尺寸厚度块放置于光学计工作台上，测量时，光学计测头对准量块中心，</w:t>
      </w:r>
      <w:r>
        <w:rPr>
          <w:rFonts w:hint="eastAsia"/>
          <w:sz w:val="24"/>
          <w:lang w:eastAsia="zh-CN"/>
        </w:rPr>
        <w:t>拨动拨叉数次，读数稳定后将光学计调零</w:t>
      </w:r>
      <w:r>
        <w:rPr>
          <w:rFonts w:hint="eastAsia"/>
          <w:sz w:val="24"/>
        </w:rPr>
        <w:t>，然后将厚度块中心点移至光学计测头下方并读数，量块中心长度与读数值之和即为厚度块实测值，标称值与厚度块实测值之差即为该厚度块示值误差。</w:t>
      </w:r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>6.3.2</w:t>
      </w:r>
      <w:r>
        <w:rPr>
          <w:rFonts w:hint="eastAsia"/>
          <w:sz w:val="24"/>
        </w:rPr>
        <w:t>　厚度变动量</w:t>
      </w:r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　　在厚度块工作面边缘均匀取四点，分别用光学计（或测长机）测得四点厚度及中心点厚度，测得的最大值与最小值之差为厚度变动量。测量点位置如图１所示。</w:t>
      </w:r>
    </w:p>
    <w:p>
      <w:pPr>
        <w:spacing w:line="300" w:lineRule="auto"/>
        <w:jc w:val="center"/>
        <w:rPr>
          <w:rFonts w:hint="eastAsia" w:ascii="黑体" w:hAnsi="黑体" w:eastAsia="黑体" w:cs="黑体"/>
          <w:sz w:val="24"/>
          <w:lang w:eastAsia="zh-CN"/>
        </w:rPr>
      </w:pPr>
      <w:bookmarkStart w:id="89" w:name="_Toc26646"/>
      <w:bookmarkStart w:id="90" w:name="_Toc85639229"/>
      <w:bookmarkStart w:id="91" w:name="_Toc401579896"/>
      <w:bookmarkStart w:id="92" w:name="_Toc401533690"/>
      <w:bookmarkStart w:id="93" w:name="_Toc400202020"/>
      <w:bookmarkStart w:id="94" w:name="_Toc13221"/>
      <w:bookmarkStart w:id="95" w:name="_Toc401809160"/>
      <w:bookmarkStart w:id="96" w:name="_Toc401579861"/>
      <w:bookmarkStart w:id="97" w:name="_Toc29559"/>
      <w:r>
        <w:rPr>
          <w:rFonts w:hint="eastAsia" w:ascii="黑体" w:hAnsi="黑体" w:eastAsia="黑体" w:cs="黑体"/>
          <w:sz w:val="24"/>
          <w:lang w:eastAsia="zh-CN"/>
        </w:rPr>
        <w:drawing>
          <wp:inline distT="0" distB="0" distL="114300" distR="114300">
            <wp:extent cx="1358900" cy="123190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图１测量点位置</w:t>
      </w:r>
    </w:p>
    <w:p>
      <w:pPr>
        <w:spacing w:line="300" w:lineRule="auto"/>
        <w:outlineLvl w:val="0"/>
        <w:rPr>
          <w:rFonts w:ascii="宋体" w:hAnsi="宋体" w:cs="宋体"/>
          <w:sz w:val="24"/>
        </w:rPr>
      </w:pPr>
      <w:bookmarkStart w:id="98" w:name="_Toc24152"/>
      <w:r>
        <w:rPr>
          <w:rFonts w:hint="eastAsia" w:ascii="黑体" w:hAnsi="黑体" w:eastAsia="黑体" w:cs="黑体"/>
          <w:sz w:val="24"/>
        </w:rPr>
        <w:t xml:space="preserve">7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校准结果表达</w:t>
      </w:r>
      <w:bookmarkEnd w:id="89"/>
      <w:bookmarkEnd w:id="98"/>
    </w:p>
    <w:p>
      <w:pPr>
        <w:spacing w:line="300" w:lineRule="auto"/>
        <w:ind w:firstLine="480" w:firstLineChars="200"/>
        <w:outlineLvl w:val="1"/>
        <w:rPr>
          <w:rFonts w:ascii="宋体" w:hAnsi="宋体" w:cs="宋体"/>
          <w:sz w:val="24"/>
        </w:rPr>
      </w:pPr>
      <w:bookmarkStart w:id="99" w:name="_Toc15375"/>
      <w:bookmarkStart w:id="100" w:name="_Toc5425"/>
      <w:bookmarkStart w:id="101" w:name="_Toc18694"/>
      <w:bookmarkStart w:id="102" w:name="_Toc9622"/>
      <w:r>
        <w:rPr>
          <w:rFonts w:hint="eastAsia" w:ascii="宋体" w:hAnsi="宋体" w:cs="宋体"/>
          <w:sz w:val="24"/>
        </w:rPr>
        <w:t>校准厚度块后出具校准证书。校准证书内容及内页格式见附录B。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9"/>
      <w:bookmarkEnd w:id="100"/>
      <w:bookmarkEnd w:id="101"/>
      <w:bookmarkEnd w:id="102"/>
      <w:bookmarkStart w:id="103" w:name="_Toc956"/>
      <w:bookmarkStart w:id="104" w:name="_Toc401533696"/>
      <w:bookmarkStart w:id="105" w:name="_Toc400202028"/>
      <w:bookmarkStart w:id="106" w:name="_Toc32668"/>
      <w:bookmarkStart w:id="107" w:name="_Toc401844871"/>
      <w:bookmarkStart w:id="108" w:name="_Toc401579867"/>
      <w:bookmarkStart w:id="109" w:name="_Toc401809167"/>
      <w:bookmarkStart w:id="110" w:name="_Toc85639233"/>
      <w:bookmarkStart w:id="111" w:name="_Toc387051600"/>
      <w:bookmarkStart w:id="112" w:name="_Toc401579902"/>
      <w:bookmarkStart w:id="113" w:name="_Toc386972810"/>
    </w:p>
    <w:p>
      <w:pPr>
        <w:spacing w:line="300" w:lineRule="auto"/>
        <w:outlineLvl w:val="0"/>
        <w:rPr>
          <w:rFonts w:ascii="黑体" w:hAnsi="黑体" w:eastAsia="黑体" w:cs="黑体"/>
          <w:sz w:val="24"/>
        </w:rPr>
      </w:pPr>
      <w:bookmarkStart w:id="114" w:name="_Toc22952"/>
      <w:bookmarkStart w:id="115" w:name="_Toc28580"/>
      <w:r>
        <w:rPr>
          <w:rFonts w:hint="eastAsia" w:ascii="黑体" w:hAnsi="黑体" w:eastAsia="黑体" w:cs="黑体"/>
          <w:sz w:val="24"/>
        </w:rPr>
        <w:t xml:space="preserve">8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bookmarkStart w:id="151" w:name="_GoBack"/>
      <w:bookmarkEnd w:id="151"/>
      <w:r>
        <w:rPr>
          <w:rFonts w:hint="eastAsia" w:ascii="黑体" w:hAnsi="黑体" w:eastAsia="黑体" w:cs="黑体"/>
          <w:sz w:val="24"/>
        </w:rPr>
        <w:t>复校时间间隔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由于复校时间间隔的长短是由器具的使用情况、使用者、器具本身质量等诸多因素所决定，因此，委托方可根据实际使用情况自主决定复校时间间隔。建议不超过一年。</w:t>
      </w: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61"/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bookmarkStart w:id="116" w:name="_Toc2924"/>
      <w:bookmarkStart w:id="117" w:name="_Toc401579869"/>
      <w:bookmarkStart w:id="118" w:name="_Toc85639236"/>
      <w:bookmarkStart w:id="119" w:name="_Toc401533698"/>
      <w:bookmarkStart w:id="120" w:name="_Toc401579904"/>
      <w:bookmarkStart w:id="121" w:name="_Toc401809169"/>
      <w:bookmarkStart w:id="122" w:name="_Toc13217"/>
      <w:bookmarkStart w:id="123" w:name="_Toc2133"/>
      <w:bookmarkStart w:id="124" w:name="_Toc401844874"/>
      <w:bookmarkStart w:id="125" w:name="_Toc21825"/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rPr>
          <w:rFonts w:hint="eastAsia" w:ascii="黑体" w:hAnsi="黑体" w:eastAsia="黑体" w:cs="黑体"/>
          <w:sz w:val="28"/>
          <w:szCs w:val="28"/>
        </w:rPr>
        <w:t>A</w:t>
      </w:r>
      <w:bookmarkEnd w:id="125"/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b/>
          <w:bCs/>
          <w:sz w:val="36"/>
          <w:szCs w:val="36"/>
        </w:rPr>
      </w:pPr>
      <w:bookmarkStart w:id="126" w:name="_Toc15230"/>
      <w:r>
        <w:rPr>
          <w:rFonts w:hint="eastAsia" w:ascii="黑体" w:hAnsi="黑体" w:eastAsia="黑体" w:cs="黑体"/>
          <w:sz w:val="28"/>
          <w:szCs w:val="28"/>
        </w:rPr>
        <w:t>标准厚度块校准原始记录参考格式</w:t>
      </w:r>
      <w:bookmarkEnd w:id="126"/>
    </w:p>
    <w:p>
      <w:pPr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证书编号：                             　　    校准日期：　　　年　月　　日　　</w:t>
      </w:r>
    </w:p>
    <w:tbl>
      <w:tblPr>
        <w:tblStyle w:val="30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13"/>
        <w:gridCol w:w="1200"/>
        <w:gridCol w:w="1218"/>
        <w:gridCol w:w="169"/>
        <w:gridCol w:w="1639"/>
        <w:gridCol w:w="610"/>
        <w:gridCol w:w="90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cs="AdobeHeitiStd-Regular"/>
                <w:kern w:val="0"/>
                <w:szCs w:val="21"/>
              </w:rPr>
              <w:t>委托单位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型号/规格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出厂编号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制造厂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校准环境条件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    度：  　　℃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校准地点：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相对湿度：   　　 %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/>
                <w:sz w:val="22"/>
                <w:szCs w:val="22"/>
              </w:rPr>
              <w:t>名称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/>
                <w:sz w:val="22"/>
                <w:szCs w:val="22"/>
              </w:rPr>
              <w:t>测量范围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eastAsia="zh-CN"/>
              </w:rPr>
              <w:t>准确度等级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溯源</w:t>
            </w:r>
            <w:r>
              <w:rPr>
                <w:rFonts w:ascii="Calibri" w:hAnsi="Calibri"/>
                <w:sz w:val="22"/>
                <w:szCs w:val="22"/>
              </w:rPr>
              <w:t>证书有效期至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外观检查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误差（µm）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误差（µm）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误差（µm）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9" w:type="dxa"/>
            <w:gridSpan w:val="9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测量不确定度：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2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校准员：　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核验</w:t>
            </w:r>
            <w:r>
              <w:rPr>
                <w:rFonts w:hint="eastAsia" w:ascii="Calibri" w:hAnsi="Calibri"/>
                <w:sz w:val="24"/>
              </w:rPr>
              <w:t>员：</w:t>
            </w:r>
          </w:p>
        </w:tc>
      </w:tr>
    </w:tbl>
    <w:p>
      <w:pPr>
        <w:pStyle w:val="61"/>
        <w:spacing w:line="360" w:lineRule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61"/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bookmarkStart w:id="127" w:name="_Toc23646"/>
      <w:r>
        <w:rPr>
          <w:rFonts w:hint="eastAsia" w:ascii="黑体" w:hAnsi="黑体" w:eastAsia="黑体" w:cs="黑体"/>
          <w:sz w:val="28"/>
          <w:szCs w:val="28"/>
        </w:rPr>
        <w:t>附录B</w:t>
      </w:r>
      <w:bookmarkEnd w:id="127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宋体" w:hAnsi="宋体" w:cs="宋体"/>
          <w:b/>
          <w:bCs/>
          <w:sz w:val="24"/>
        </w:rPr>
      </w:pPr>
      <w:bookmarkStart w:id="128" w:name="_Toc8932"/>
      <w:r>
        <w:rPr>
          <w:rFonts w:hint="eastAsia" w:ascii="黑体" w:hAnsi="黑体" w:eastAsia="黑体" w:cs="黑体"/>
          <w:sz w:val="28"/>
          <w:szCs w:val="28"/>
        </w:rPr>
        <w:t>标准厚度块校准证书内页参考格式</w:t>
      </w:r>
      <w:bookmarkEnd w:id="128"/>
    </w:p>
    <w:p>
      <w:pPr>
        <w:pStyle w:val="61"/>
        <w:spacing w:line="360" w:lineRule="auto"/>
        <w:rPr>
          <w:rFonts w:ascii="宋体" w:hAnsi="宋体" w:cs="宋体"/>
          <w:sz w:val="24"/>
        </w:rPr>
      </w:pPr>
    </w:p>
    <w:tbl>
      <w:tblPr>
        <w:tblStyle w:val="30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3"/>
        <w:gridCol w:w="1513"/>
        <w:gridCol w:w="1513"/>
        <w:gridCol w:w="151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厚度块示值误差（µm）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厚度块示值误差（µm）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厚度块示值误差（µm）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9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测量不确定度：</w:t>
            </w: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校准证书的内容应符合JJF1071《国家计量校准规范编写规则》的要求，由于各实验室对校准证书有自已的设计，本附录建议与校准结果相关部分的内页格式。其中的部分内容可以由实验室的证书格式不同而在其他部分表述。</w:t>
      </w:r>
    </w:p>
    <w:p>
      <w:pPr>
        <w:pStyle w:val="2"/>
        <w:rPr>
          <w:sz w:val="52"/>
          <w:szCs w:val="52"/>
        </w:rPr>
      </w:pPr>
    </w:p>
    <w:p>
      <w:pPr>
        <w:pStyle w:val="2"/>
        <w:rPr>
          <w:sz w:val="52"/>
          <w:szCs w:val="52"/>
        </w:rPr>
      </w:pPr>
    </w:p>
    <w:p>
      <w:pPr>
        <w:pStyle w:val="2"/>
        <w:rPr>
          <w:sz w:val="52"/>
          <w:szCs w:val="52"/>
        </w:rPr>
      </w:pPr>
    </w:p>
    <w:p>
      <w:pPr>
        <w:pStyle w:val="61"/>
        <w:spacing w:line="240" w:lineRule="atLeast"/>
        <w:rPr>
          <w:rStyle w:val="35"/>
          <w:b w:val="0"/>
          <w:bCs/>
          <w:szCs w:val="28"/>
        </w:rPr>
      </w:pPr>
      <w:bookmarkStart w:id="129" w:name="_Toc10649"/>
    </w:p>
    <w:p>
      <w:pPr>
        <w:pStyle w:val="61"/>
        <w:spacing w:line="240" w:lineRule="atLeast"/>
        <w:outlineLvl w:val="0"/>
        <w:rPr>
          <w:rFonts w:ascii="宋体" w:hAnsi="宋体" w:eastAsia="黑体"/>
          <w:bCs/>
          <w:sz w:val="28"/>
          <w:szCs w:val="28"/>
        </w:rPr>
      </w:pPr>
      <w:bookmarkStart w:id="130" w:name="_Toc10254"/>
      <w:r>
        <w:rPr>
          <w:rStyle w:val="35"/>
          <w:b w:val="0"/>
          <w:bCs/>
          <w:szCs w:val="28"/>
        </w:rPr>
        <w:t>附录</w:t>
      </w:r>
      <w:bookmarkEnd w:id="129"/>
      <w:r>
        <w:rPr>
          <w:rStyle w:val="35"/>
          <w:rFonts w:hint="eastAsia"/>
          <w:b w:val="0"/>
          <w:bCs/>
          <w:szCs w:val="28"/>
        </w:rPr>
        <w:t>C</w:t>
      </w:r>
      <w:bookmarkEnd w:id="130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outlineLvl w:val="0"/>
        <w:rPr>
          <w:rFonts w:ascii="黑体" w:hAnsi="黑体" w:eastAsia="黑体"/>
          <w:sz w:val="28"/>
          <w:szCs w:val="28"/>
        </w:rPr>
      </w:pPr>
      <w:bookmarkStart w:id="131" w:name="_Toc5136"/>
      <w:bookmarkStart w:id="132" w:name="_Toc20945"/>
      <w:r>
        <w:rPr>
          <w:rFonts w:hint="eastAsia" w:ascii="黑体" w:hAnsi="黑体" w:eastAsia="黑体"/>
          <w:sz w:val="28"/>
          <w:szCs w:val="28"/>
        </w:rPr>
        <w:t>标准厚度块示值误差</w:t>
      </w:r>
      <w:r>
        <w:rPr>
          <w:rFonts w:ascii="黑体" w:hAnsi="黑体" w:eastAsia="黑体"/>
          <w:sz w:val="28"/>
          <w:szCs w:val="28"/>
        </w:rPr>
        <w:t>测量</w:t>
      </w:r>
      <w:r>
        <w:rPr>
          <w:rFonts w:hint="eastAsia" w:ascii="黑体" w:hAnsi="黑体" w:eastAsia="黑体"/>
          <w:sz w:val="28"/>
          <w:szCs w:val="28"/>
        </w:rPr>
        <w:t>结果</w:t>
      </w:r>
      <w:r>
        <w:rPr>
          <w:rFonts w:ascii="黑体" w:hAnsi="黑体" w:eastAsia="黑体"/>
          <w:sz w:val="28"/>
          <w:szCs w:val="28"/>
        </w:rPr>
        <w:t>不确定度评定</w:t>
      </w:r>
      <w:bookmarkEnd w:id="131"/>
      <w:bookmarkEnd w:id="132"/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C.1  概述</w:t>
      </w:r>
    </w:p>
    <w:p>
      <w:pPr>
        <w:pStyle w:val="61"/>
        <w:overflowPunct w:val="0"/>
        <w:autoSpaceDE w:val="0"/>
        <w:autoSpaceDN w:val="0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在温度（20±5）℃，相对湿度小于等于60%的情况下，对厚度块及校准设备恒温时间不少于1h。采用比较方法测量，用五等量块、光学计，测长机测量标准厚度块厚度。</w:t>
      </w:r>
    </w:p>
    <w:p>
      <w:pPr>
        <w:pStyle w:val="61"/>
        <w:tabs>
          <w:tab w:val="left" w:pos="2310"/>
        </w:tabs>
        <w:overflowPunct w:val="0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C.2  测量模型</w:t>
      </w:r>
    </w:p>
    <w:p>
      <w:pPr>
        <w:pStyle w:val="61"/>
        <w:tabs>
          <w:tab w:val="left" w:pos="2310"/>
        </w:tabs>
        <w:overflowPunct w:val="0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C.2.1 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数学</w:t>
      </w:r>
      <w:r>
        <w:rPr>
          <w:rFonts w:hint="eastAsia" w:ascii="宋体" w:hAnsi="宋体" w:eastAsia="宋体" w:cs="宋体"/>
          <w:sz w:val="24"/>
          <w:szCs w:val="21"/>
        </w:rPr>
        <w:t>公式</w:t>
      </w:r>
      <w:r>
        <w:rPr>
          <w:rFonts w:hint="eastAsia" w:ascii="宋体" w:hAnsi="宋体" w:eastAsia="宋体" w:cs="宋体"/>
          <w:sz w:val="24"/>
          <w:szCs w:val="21"/>
        </w:rPr>
        <w:tab/>
      </w:r>
    </w:p>
    <w:p>
      <w:pPr>
        <w:pStyle w:val="61"/>
        <w:spacing w:line="360" w:lineRule="auto"/>
        <w:jc w:val="right"/>
        <w:rPr>
          <w:rFonts w:hint="eastAsia" w:ascii="宋体" w:hAnsi="宋体" w:eastAsia="宋体" w:cs="宋体"/>
          <w:sz w:val="24"/>
          <w:szCs w:val="21"/>
        </w:rPr>
      </w:pP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H=</m:t>
        </m:r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1"/>
            <w:lang w:val="en-US" w:eastAsia="zh-CN"/>
          </w:rPr>
          <m:t>+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d</m:t>
        </m:r>
      </m:oMath>
      <w:r>
        <w:rPr>
          <w:rFonts w:hint="eastAsia" w:ascii="宋体" w:hAnsi="宋体" w:eastAsia="宋体" w:cs="宋体"/>
          <w:i/>
          <w:iCs/>
          <w:sz w:val="24"/>
          <w:szCs w:val="21"/>
        </w:rPr>
        <w:t xml:space="preserve">    </w:t>
      </w:r>
      <w:r>
        <w:rPr>
          <w:rFonts w:hint="eastAsia" w:ascii="宋体" w:hAnsi="宋体" w:eastAsia="宋体" w:cs="宋体"/>
          <w:i/>
          <w:iCs/>
          <w:sz w:val="24"/>
          <w:szCs w:val="21"/>
          <w:lang w:eastAsia="zh-CN"/>
        </w:rPr>
        <w:t>　　　　　　　　　　　</w:t>
      </w:r>
      <w:r>
        <w:rPr>
          <w:rFonts w:hint="eastAsia" w:ascii="宋体" w:hAnsi="宋体" w:eastAsia="宋体" w:cs="宋体"/>
          <w:i/>
          <w:iCs/>
          <w:sz w:val="24"/>
          <w:szCs w:val="21"/>
        </w:rPr>
        <w:t xml:space="preserve">    </w:t>
      </w:r>
      <w:r>
        <w:rPr>
          <w:rFonts w:hint="eastAsia" w:ascii="宋体" w:hAnsi="宋体" w:eastAsia="宋体" w:cs="宋体"/>
          <w:sz w:val="24"/>
          <w:szCs w:val="21"/>
        </w:rPr>
        <w:t>(C.1)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式中：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 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H</m:t>
        </m:r>
      </m:oMath>
      <w:r>
        <w:rPr>
          <w:rFonts w:hint="eastAsia" w:ascii="宋体" w:hAnsi="宋体" w:eastAsia="宋体" w:cs="宋体"/>
          <w:sz w:val="24"/>
          <w:szCs w:val="21"/>
        </w:rPr>
        <w:t>—标准厚度块的中心厚度实测值；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 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sz w:val="24"/>
          <w:szCs w:val="21"/>
        </w:rPr>
        <w:t>—量块的中心长度；</w:t>
      </w:r>
    </w:p>
    <w:p>
      <w:pPr>
        <w:pStyle w:val="61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1"/>
        </w:rPr>
      </w:pP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d</m:t>
        </m:r>
      </m:oMath>
      <w:r>
        <w:rPr>
          <w:rFonts w:hint="eastAsia" w:ascii="宋体" w:hAnsi="宋体" w:eastAsia="宋体" w:cs="宋体"/>
          <w:sz w:val="24"/>
          <w:szCs w:val="21"/>
        </w:rPr>
        <w:t xml:space="preserve"> —从仪器上读出的差值；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C.2.2 合成标准不确定度表达式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　　根据测量模型，标准厚度块厚度</w:t>
      </w:r>
      <w:r>
        <w:rPr>
          <w:rFonts w:hint="eastAsia" w:ascii="宋体" w:hAnsi="宋体" w:eastAsia="宋体" w:cs="宋体"/>
          <w:i/>
          <w:sz w:val="24"/>
          <w:szCs w:val="21"/>
        </w:rPr>
        <w:t>H</w:t>
      </w:r>
      <w:r>
        <w:rPr>
          <w:rFonts w:hint="eastAsia" w:ascii="宋体" w:hAnsi="宋体" w:eastAsia="宋体" w:cs="宋体"/>
          <w:sz w:val="24"/>
          <w:szCs w:val="21"/>
        </w:rPr>
        <w:t>的合成不确定度</w:t>
      </w:r>
      <m:oMath>
        <m:sSubSup>
          <m:sSubSup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p>
        </m:sSubSup>
        <m:d>
          <m:d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1"/>
        </w:rPr>
        <w:t>，可表示为：</w:t>
      </w:r>
    </w:p>
    <w:p>
      <w:pPr>
        <w:pStyle w:val="61"/>
        <w:spacing w:line="360" w:lineRule="auto"/>
        <w:jc w:val="right"/>
        <w:rPr>
          <w:rFonts w:hint="eastAsia" w:ascii="宋体" w:hAnsi="宋体" w:eastAsia="宋体" w:cs="宋体"/>
          <w:sz w:val="24"/>
          <w:szCs w:val="21"/>
        </w:rPr>
      </w:pPr>
      <m:oMath>
        <m:sSubSup>
          <m:sSubSup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p>
        </m:sSubSup>
        <m:d>
          <m:d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4"/>
          </w:rPr>
          <m:t>=</m:t>
        </m:r>
        <m:sSubSup>
          <m:sSub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bSup>
        <m:sSup>
          <m:s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p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l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s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4"/>
          </w:rPr>
          <m:t>+</m:t>
        </m:r>
        <m:sSubSup>
          <m:sSub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bSup>
        <m:sSup>
          <m:s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p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szCs w:val="21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1"/>
        </w:rPr>
        <w:t>(C.2)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式中灵敏系数:</w:t>
      </w:r>
    </w:p>
    <w:p>
      <w:pPr>
        <w:pStyle w:val="61"/>
        <w:spacing w:line="360" w:lineRule="auto"/>
        <w:jc w:val="both"/>
        <w:rPr>
          <w:rFonts w:hint="eastAsia" w:ascii="宋体" w:hAnsi="宋体" w:eastAsia="宋体" w:cs="宋体"/>
          <w:b w:val="0"/>
          <w:i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c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H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sSub>
                <m:sSub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l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s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=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lang w:val="en-US" w:eastAsia="zh-CN"/>
            </w:rPr>
            <m:t>1</m:t>
          </m:r>
        </m:oMath>
      </m:oMathPara>
    </w:p>
    <w:p>
      <w:pPr>
        <w:pStyle w:val="61"/>
        <w:spacing w:line="360" w:lineRule="auto"/>
        <w:jc w:val="center"/>
        <w:rPr>
          <w:rFonts w:hint="eastAsia" w:ascii="宋体" w:hAnsi="宋体" w:eastAsia="宋体" w:cs="宋体"/>
          <w:b w:val="0"/>
          <w:i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c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H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=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lang w:val="en-US" w:eastAsia="zh-CN"/>
            </w:rPr>
            <m:t>1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3" w:name="_Toc7795"/>
      <w:r>
        <w:rPr>
          <w:rFonts w:hint="eastAsia" w:ascii="宋体" w:hAnsi="宋体" w:eastAsia="宋体" w:cs="宋体"/>
          <w:sz w:val="24"/>
          <w:szCs w:val="21"/>
        </w:rPr>
        <w:t>C.3　影响量的标准不确定度（以10mm厚度块为例）</w:t>
      </w:r>
      <w:bookmarkEnd w:id="133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4" w:name="_Toc14781"/>
      <w:bookmarkStart w:id="135" w:name="_Toc12284"/>
      <w:r>
        <w:rPr>
          <w:rFonts w:hint="eastAsia" w:ascii="宋体" w:hAnsi="宋体" w:eastAsia="宋体" w:cs="宋体"/>
          <w:sz w:val="24"/>
          <w:szCs w:val="21"/>
        </w:rPr>
        <w:t>不确定度的主要影响量有：量块中心长度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r>
          <m:rPr/>
          <w:rPr>
            <w:rFonts w:hint="eastAsia" w:ascii="Cambria Math" w:hAnsi="Cambria Math" w:eastAsia="宋体" w:cs="宋体"/>
            <w:sz w:val="24"/>
          </w:rPr>
          <m:t>u</m:t>
        </m:r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l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4"/>
                  </w:rPr>
                  <m:t>s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,光学计引入</w:t>
      </w:r>
      <w:r>
        <w:rPr>
          <w:rFonts w:hint="eastAsia" w:ascii="宋体" w:hAnsi="宋体" w:eastAsia="宋体" w:cs="宋体"/>
          <w:iCs/>
          <w:sz w:val="24"/>
          <w:szCs w:val="21"/>
        </w:rPr>
        <w:t>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、测量重复性</w:t>
      </w:r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、</w:t>
      </w:r>
      <w:r>
        <w:rPr>
          <w:rFonts w:hint="eastAsia" w:ascii="宋体" w:hAnsi="宋体" w:eastAsia="宋体" w:cs="宋体"/>
          <w:sz w:val="24"/>
          <w:szCs w:val="21"/>
        </w:rPr>
        <w:t>标准厚度块和量块的温度差引入的不确定度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、标准</w:t>
      </w:r>
      <w:r>
        <w:rPr>
          <w:rFonts w:hint="eastAsia" w:ascii="宋体" w:hAnsi="宋体" w:eastAsia="宋体" w:cs="宋体"/>
          <w:sz w:val="24"/>
          <w:szCs w:val="21"/>
        </w:rPr>
        <w:t>厚度块与量块线膨胀系数差引入的标准不确定度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。</w:t>
      </w:r>
      <w:bookmarkEnd w:id="134"/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6" w:name="_Toc1921"/>
      <w:r>
        <w:rPr>
          <w:rFonts w:hint="eastAsia" w:ascii="宋体" w:hAnsi="宋体" w:eastAsia="宋体" w:cs="宋体"/>
          <w:sz w:val="24"/>
          <w:szCs w:val="21"/>
        </w:rPr>
        <w:t>C.3.1　</w:t>
      </w:r>
      <w:bookmarkEnd w:id="135"/>
      <w:r>
        <w:rPr>
          <w:rFonts w:hint="eastAsia" w:ascii="宋体" w:hAnsi="宋体" w:eastAsia="宋体" w:cs="宋体"/>
          <w:sz w:val="24"/>
          <w:szCs w:val="21"/>
        </w:rPr>
        <w:t>量块中心长度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r>
          <m:rPr/>
          <w:rPr>
            <w:rFonts w:hint="eastAsia" w:ascii="Cambria Math" w:hAnsi="Cambria Math" w:eastAsia="宋体" w:cs="宋体"/>
            <w:sz w:val="24"/>
          </w:rPr>
          <m:t>u</m:t>
        </m:r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l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4"/>
                  </w:rPr>
                  <m:t>s</m:t>
                </m:r>
                <w:bookmarkEnd w:id="136"/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五等量块的测量不确定度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4"/>
          </w:rPr>
          <m:t>U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＝0.4μm</m:t>
        </m:r>
      </m:oMath>
      <w:r>
        <w:rPr>
          <w:rFonts w:hint="eastAsia" w:ascii="宋体" w:hAnsi="宋体" w:eastAsia="宋体" w:cs="宋体"/>
          <w:sz w:val="24"/>
        </w:rPr>
        <w:t>,包含因子按</w:t>
      </w:r>
      <w:r>
        <w:rPr>
          <w:rFonts w:hint="eastAsia" w:ascii="宋体" w:hAnsi="宋体" w:eastAsia="宋体" w:cs="宋体"/>
          <w:i w:val="0"/>
          <w:iCs/>
          <w:sz w:val="24"/>
        </w:rPr>
        <w:t>k</w:t>
      </w:r>
      <w:r>
        <w:rPr>
          <w:rFonts w:hint="eastAsia" w:ascii="宋体" w:hAnsi="宋体" w:eastAsia="宋体" w:cs="宋体"/>
          <w:sz w:val="24"/>
        </w:rPr>
        <w:t xml:space="preserve"> = 2.7计算，则标准不确定度为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</w:rPr>
      </w:pPr>
      <m:oMathPara>
        <m:oMath>
          <m:r>
            <m:rPr/>
            <w:rPr>
              <w:rFonts w:hint="eastAsia" w:ascii="Cambria Math" w:hAnsi="Cambria Math" w:eastAsia="宋体" w:cs="宋体"/>
              <w:sz w:val="24"/>
            </w:rPr>
            <m:t>u</m:t>
          </m:r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l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s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</w:rPr>
                <m:t>0.4μm</m:t>
              </m:r>
              <m:ctrlPr>
                <w:rPr>
                  <w:rFonts w:hint="eastAsia" w:ascii="Cambria Math" w:hAnsi="Cambria Math" w:eastAsia="宋体" w:cs="宋体"/>
                  <w:sz w:val="24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</w:rPr>
                <m:t>2.7</m:t>
              </m:r>
              <m:ctrlPr>
                <w:rPr>
                  <w:rFonts w:hint="eastAsia" w:ascii="Cambria Math" w:hAnsi="Cambria Math" w:eastAsia="宋体" w:cs="宋体"/>
                  <w:sz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=0.15μm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7" w:name="_Toc5566"/>
      <w:bookmarkStart w:id="138" w:name="_Toc26658"/>
      <w:bookmarkStart w:id="139" w:name="_Toc22475"/>
      <w:r>
        <w:rPr>
          <w:rFonts w:hint="eastAsia" w:ascii="宋体" w:hAnsi="宋体" w:eastAsia="宋体" w:cs="宋体"/>
          <w:sz w:val="24"/>
          <w:szCs w:val="21"/>
        </w:rPr>
        <w:t>C.3.2　</w:t>
      </w:r>
      <w:r>
        <w:rPr>
          <w:rFonts w:hint="eastAsia" w:ascii="宋体" w:hAnsi="宋体" w:eastAsia="宋体" w:cs="宋体"/>
          <w:iCs/>
          <w:sz w:val="24"/>
        </w:rPr>
        <w:t>光学计引入</w:t>
      </w:r>
      <w:r>
        <w:rPr>
          <w:rFonts w:hint="eastAsia" w:ascii="宋体" w:hAnsi="宋体" w:eastAsia="宋体" w:cs="宋体"/>
          <w:iCs/>
          <w:sz w:val="24"/>
          <w:szCs w:val="21"/>
        </w:rPr>
        <w:t>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37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</w:rPr>
      </w:pPr>
      <w:bookmarkStart w:id="140" w:name="_Toc16673"/>
      <w:r>
        <w:rPr>
          <w:rFonts w:hint="eastAsia" w:ascii="宋体" w:hAnsi="宋体" w:eastAsia="宋体" w:cs="宋体"/>
          <w:sz w:val="24"/>
          <w:szCs w:val="21"/>
        </w:rPr>
        <w:t>由于以10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mm厚度块为例，所以选用设备为光学计。根据证书可知，光学计的</w:t>
      </w:r>
      <w:r>
        <w:rPr>
          <w:rFonts w:hint="eastAsia" w:ascii="宋体" w:hAnsi="宋体" w:eastAsia="宋体" w:cs="宋体"/>
          <w:color w:val="000000"/>
          <w:szCs w:val="21"/>
        </w:rPr>
        <w:t>MPE：±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0.25</w:t>
      </w:r>
      <m:oMath>
        <m:r>
          <m:rPr>
            <m:sty m:val="p"/>
          </m:rPr>
          <w:rPr>
            <w:rFonts w:hint="default" w:ascii="Cambria Math" w:hAnsi="宋体" w:cs="宋体"/>
            <w:color w:val="000000"/>
            <w:sz w:val="24"/>
            <w:szCs w:val="24"/>
            <w:lang w:val="en-US" w:eastAsia="zh-CN"/>
          </w:rPr>
          <m:t xml:space="preserve"> 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μm</m:t>
        </m:r>
      </m:oMath>
      <w:r>
        <w:rPr>
          <w:rFonts w:hint="eastAsia" w:ascii="宋体" w:hAnsi="宋体" w:eastAsia="宋体" w:cs="宋体"/>
          <w:sz w:val="24"/>
        </w:rPr>
        <w:t>，按均匀分布得：</w:t>
      </w:r>
      <w:bookmarkEnd w:id="140"/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1" w:name="_Toc18074"/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1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</w:rPr>
                <m:t>0.25μm</m:t>
              </m:r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Cs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Cs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Cs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</w:rPr>
            <m:t>=0.14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μm</m:t>
          </m:r>
        </m:oMath>
      </m:oMathPara>
      <w:bookmarkEnd w:id="141"/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2" w:name="_Toc16757"/>
      <w:r>
        <w:rPr>
          <w:rFonts w:hint="eastAsia" w:ascii="宋体" w:hAnsi="宋体" w:eastAsia="宋体" w:cs="宋体"/>
          <w:sz w:val="24"/>
          <w:szCs w:val="21"/>
        </w:rPr>
        <w:t>C.3.3　</w:t>
      </w:r>
      <w:bookmarkEnd w:id="138"/>
      <w:bookmarkEnd w:id="139"/>
      <w:r>
        <w:rPr>
          <w:rFonts w:hint="eastAsia" w:ascii="宋体" w:hAnsi="宋体" w:eastAsia="宋体" w:cs="宋体"/>
          <w:iCs/>
          <w:sz w:val="24"/>
        </w:rPr>
        <w:t>测量重复性</w:t>
      </w:r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42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ind w:firstLine="484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将10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mm厚度块置于光学计工作台上，用测头进行10次连续独立重复性测量，见表 C1。</w:t>
      </w:r>
    </w:p>
    <w:p>
      <w:pPr>
        <w:pStyle w:val="61"/>
        <w:spacing w:line="360" w:lineRule="auto"/>
        <w:jc w:val="center"/>
        <w:outlineLvl w:val="0"/>
        <w:rPr>
          <w:rFonts w:ascii="黑体" w:hAnsi="黑体" w:eastAsia="黑体" w:cs="黑体"/>
          <w:szCs w:val="21"/>
        </w:rPr>
      </w:pPr>
      <w:bookmarkStart w:id="143" w:name="_Toc2174"/>
      <w:bookmarkStart w:id="144" w:name="_Toc18685"/>
      <w:r>
        <w:rPr>
          <w:rFonts w:hint="eastAsia" w:ascii="黑体" w:hAnsi="黑体" w:eastAsia="黑体" w:cs="黑体"/>
          <w:szCs w:val="21"/>
        </w:rPr>
        <w:t>表 Ｃ1　</w:t>
      </w:r>
      <w:r>
        <w:rPr>
          <w:rFonts w:eastAsia="黑体"/>
          <w:szCs w:val="21"/>
        </w:rPr>
        <w:t>10</w:t>
      </w:r>
      <w:r>
        <w:rPr>
          <w:rFonts w:hint="eastAsia" w:ascii="黑体" w:hAnsi="黑体" w:eastAsia="黑体" w:cs="黑体"/>
          <w:szCs w:val="21"/>
        </w:rPr>
        <w:t>mm标准标准厚度块重复性测量值</w:t>
      </w:r>
      <w:bookmarkEnd w:id="143"/>
      <w:bookmarkEnd w:id="144"/>
    </w:p>
    <w:p>
      <w:pPr>
        <w:pStyle w:val="61"/>
        <w:wordWrap w:val="0"/>
        <w:spacing w:line="360" w:lineRule="auto"/>
        <w:jc w:val="right"/>
        <w:outlineLvl w:val="0"/>
        <w:rPr>
          <w:rFonts w:hint="eastAsia" w:hAnsi="Cambria Math"/>
          <w:b/>
          <w:bCs/>
          <w:szCs w:val="21"/>
        </w:rPr>
      </w:pPr>
      <w:bookmarkStart w:id="145" w:name="_Toc16456"/>
      <w:r>
        <w:rPr>
          <w:rFonts w:hint="eastAsia" w:hAnsi="Cambria Math" w:cs="宋体"/>
          <w:b w:val="0"/>
          <w:i w:val="0"/>
          <w:szCs w:val="21"/>
          <w:lang w:eastAsia="zh-CN"/>
        </w:rPr>
        <w:t>单位：</w:t>
      </w:r>
      <m:oMath>
        <m:r>
          <m:rPr>
            <m:sty m:val="p"/>
          </m:rPr>
          <w:rPr>
            <w:rFonts w:ascii="Cambria Math" w:hAnsi="Cambria Math" w:cs="宋体"/>
            <w:szCs w:val="21"/>
          </w:rPr>
          <m:t>μm</m:t>
        </m:r>
        <w:bookmarkEnd w:id="145"/>
      </m:oMath>
      <w:r>
        <w:rPr>
          <w:rFonts w:hint="eastAsia" w:hAnsi="Cambria Math"/>
          <w:szCs w:val="21"/>
        </w:rPr>
        <w:t xml:space="preserve"> </w:t>
      </w:r>
      <w:r>
        <w:rPr>
          <w:rFonts w:hAnsi="Cambria Math"/>
          <w:szCs w:val="21"/>
        </w:rPr>
        <w:t xml:space="preserve"> 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次数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读数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+0.1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+0.1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+0.1</w:t>
            </w:r>
          </w:p>
        </w:tc>
      </w:tr>
    </w:tbl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则单次测量实验标准差</w:t>
      </w:r>
      <w:r>
        <w:rPr>
          <w:rFonts w:hint="eastAsia" w:ascii="宋体" w:hAnsi="宋体" w:eastAsia="宋体" w:cs="宋体"/>
          <w:i/>
          <w:iCs/>
          <w:sz w:val="24"/>
          <w:szCs w:val="21"/>
        </w:rPr>
        <w:t>s</w:t>
      </w:r>
      <w:r>
        <w:rPr>
          <w:rFonts w:hint="eastAsia" w:ascii="宋体" w:hAnsi="宋体" w:cs="宋体"/>
          <w:i/>
          <w:iCs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=0.13</w:t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μm</m:t>
        </m:r>
      </m:oMath>
      <w:r>
        <w:rPr>
          <w:rFonts w:hint="eastAsia" w:ascii="宋体" w:hAnsi="宋体" w:eastAsia="宋体" w:cs="宋体"/>
          <w:sz w:val="24"/>
          <w:szCs w:val="21"/>
        </w:rPr>
        <w:t>。每个实际测量过程读取３次数值取平均值，则标准不确定度</w:t>
      </w:r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  <w:lang w:val="en-US" w:eastAsia="zh-CN"/>
                </w:rPr>
                <m:t>0.13</m:t>
              </m:r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Cs w:val="21"/>
                </w:rPr>
                <m:t>μm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=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0.0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8</m:t>
          </m:r>
          <m:r>
            <m:rPr>
              <m:sty m:val="p"/>
            </m:rPr>
            <w:rPr>
              <w:rFonts w:hint="eastAsia" w:ascii="Cambria Math" w:hAnsi="Cambria Math" w:eastAsia="宋体" w:cs="宋体"/>
              <w:szCs w:val="21"/>
            </w:rPr>
            <m:t>μm</m:t>
          </m:r>
        </m:oMath>
      </m:oMathPara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6" w:name="_Toc18999"/>
      <w:bookmarkStart w:id="147" w:name="_Toc5931"/>
      <w:r>
        <w:rPr>
          <w:rFonts w:hint="eastAsia" w:ascii="宋体" w:hAnsi="宋体" w:eastAsia="宋体" w:cs="宋体"/>
          <w:sz w:val="24"/>
          <w:szCs w:val="21"/>
        </w:rPr>
        <w:t>C.3.4　</w:t>
      </w:r>
      <w:bookmarkEnd w:id="146"/>
      <w:r>
        <w:rPr>
          <w:rFonts w:hint="eastAsia" w:ascii="宋体" w:hAnsi="宋体" w:eastAsia="宋体" w:cs="宋体"/>
          <w:sz w:val="24"/>
          <w:szCs w:val="21"/>
        </w:rPr>
        <w:t>标准厚度块和量块的温度差引入的不确定度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  <w:bookmarkEnd w:id="147"/>
          </m:e>
        </m:d>
      </m:oMath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测量标准厚度块时，标准厚度块与量块的温度最大差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∆t</m:t>
        </m:r>
      </m:oMath>
      <w:r>
        <w:rPr>
          <w:rFonts w:hint="eastAsia" w:ascii="宋体" w:hAnsi="宋体" w:eastAsia="宋体" w:cs="宋体"/>
          <w:sz w:val="24"/>
          <w:szCs w:val="21"/>
        </w:rPr>
        <w:t>以在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±0.5℃</m:t>
        </m:r>
      </m:oMath>
      <w:r>
        <w:rPr>
          <w:rFonts w:hint="eastAsia" w:ascii="宋体" w:hAnsi="宋体" w:eastAsia="宋体" w:cs="宋体"/>
          <w:sz w:val="24"/>
          <w:szCs w:val="21"/>
        </w:rPr>
        <w:t>范围内估计。假定其在该范围内服从均匀分布，</w:t>
      </w:r>
      <w:r>
        <w:rPr>
          <w:rFonts w:hint="eastAsia" w:ascii="宋体" w:hAnsi="宋体" w:cs="宋体"/>
          <w:sz w:val="24"/>
          <w:szCs w:val="21"/>
          <w:lang w:val="en-US" w:eastAsia="zh-CN"/>
        </w:rPr>
        <w:t>则由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JJG 146-2011</w:t>
      </w:r>
      <w:r>
        <w:rPr>
          <w:rFonts w:hint="eastAsia" w:ascii="Times New Roman" w:hAnsi="Times New Roman" w:cs="Times New Roman"/>
          <w:sz w:val="24"/>
          <w:szCs w:val="21"/>
          <w:lang w:val="en-US" w:eastAsia="zh-CN"/>
        </w:rPr>
        <w:t>　</w:t>
      </w:r>
      <w:r>
        <w:rPr>
          <w:rFonts w:hint="eastAsia" w:ascii="宋体" w:hAnsi="宋体" w:cs="宋体"/>
          <w:sz w:val="24"/>
          <w:szCs w:val="21"/>
          <w:lang w:val="en-US" w:eastAsia="zh-CN"/>
        </w:rPr>
        <w:t>《量块》</w:t>
      </w:r>
      <w:r>
        <w:rPr>
          <w:rFonts w:hint="eastAsia" w:ascii="宋体" w:hAnsi="宋体" w:eastAsia="宋体" w:cs="宋体"/>
          <w:sz w:val="24"/>
          <w:szCs w:val="21"/>
        </w:rPr>
        <w:t>可得</w:t>
      </w:r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b w:val="0"/>
          <w:i w:val="0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</w:rPr>
                    <m:t>10mm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×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  <w:lang w:val="en-US" w:eastAsia="zh-CN"/>
                    </w:rPr>
                    <m:t>11.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5×10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−6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℃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−1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×0.5℃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≈0.0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4</m:t>
          </m:r>
          <m:r>
            <m:rPr>
              <m:sty m:val="p"/>
            </m:rPr>
            <w:rPr>
              <w:rFonts w:hint="eastAsia" w:ascii="Cambria Math" w:hAnsi="Cambria Math" w:eastAsia="宋体" w:cs="宋体"/>
              <w:szCs w:val="21"/>
            </w:rPr>
            <m:t>μm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8" w:name="_Toc23575"/>
      <w:bookmarkStart w:id="149" w:name="_Toc38"/>
      <w:bookmarkStart w:id="150" w:name="_Toc26860"/>
      <w:r>
        <w:rPr>
          <w:rFonts w:hint="eastAsia" w:ascii="宋体" w:hAnsi="宋体" w:eastAsia="宋体" w:cs="宋体"/>
          <w:sz w:val="24"/>
          <w:szCs w:val="21"/>
        </w:rPr>
        <w:t>C.3.5　</w:t>
      </w:r>
      <w:bookmarkEnd w:id="148"/>
      <w:bookmarkEnd w:id="149"/>
      <w:r>
        <w:rPr>
          <w:rFonts w:hint="eastAsia" w:ascii="宋体" w:hAnsi="宋体" w:eastAsia="宋体" w:cs="宋体"/>
          <w:iCs/>
          <w:sz w:val="24"/>
        </w:rPr>
        <w:t>标准</w:t>
      </w:r>
      <w:r>
        <w:rPr>
          <w:rFonts w:hint="eastAsia" w:ascii="宋体" w:hAnsi="宋体" w:eastAsia="宋体" w:cs="宋体"/>
          <w:sz w:val="24"/>
          <w:szCs w:val="21"/>
        </w:rPr>
        <w:t>厚度块与量块的线膨胀系数差引入的标准不确定度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50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鉴于标准厚度块与量块线膨胀系数值略有差异，两者的线膨胀系数差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∆α</m:t>
        </m:r>
      </m:oMath>
      <w:r>
        <w:rPr>
          <w:rFonts w:hint="eastAsia" w:ascii="宋体" w:hAnsi="宋体" w:eastAsia="宋体" w:cs="宋体"/>
          <w:sz w:val="24"/>
          <w:szCs w:val="21"/>
        </w:rPr>
        <w:t>应在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±2×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10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−6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℃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−1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1"/>
          </w:rPr>
          <m:t>范围内</m:t>
        </m:r>
      </m:oMath>
      <w:r>
        <w:rPr>
          <w:rFonts w:hint="eastAsia" w:ascii="宋体" w:hAnsi="宋体" w:eastAsia="宋体" w:cs="宋体"/>
          <w:sz w:val="24"/>
          <w:szCs w:val="21"/>
        </w:rPr>
        <w:t>，并服从三角分布</w:t>
      </w:r>
      <w:r>
        <w:rPr>
          <w:rFonts w:hint="default" w:ascii="Gabriola" w:hAnsi="Gabriola" w:eastAsia="宋体" w:cs="Gabriola"/>
          <w:i/>
          <w:iCs/>
          <w:sz w:val="24"/>
          <w:szCs w:val="21"/>
        </w:rPr>
        <w:t>k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 xml:space="preserve"> </m:t>
        </m:r>
      </m:oMath>
      <w:r>
        <w:rPr>
          <w:rFonts w:hint="eastAsia" w:ascii="宋体" w:hAnsi="宋体" w:eastAsia="宋体" w:cs="宋体"/>
          <w:sz w:val="24"/>
          <w:szCs w:val="21"/>
        </w:rPr>
        <w:t xml:space="preserve"> 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sz w:val="24"/>
          <w:szCs w:val="21"/>
        </w:rPr>
        <w:t>，厚度块温度对20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℃</m:t>
        </m:r>
      </m:oMath>
      <w:r>
        <w:rPr>
          <w:rFonts w:hint="eastAsia" w:ascii="宋体" w:hAnsi="宋体" w:eastAsia="宋体" w:cs="宋体"/>
          <w:sz w:val="24"/>
          <w:szCs w:val="21"/>
        </w:rPr>
        <w:t>偏差不超过5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℃</m:t>
        </m:r>
      </m:oMath>
      <w:r>
        <w:rPr>
          <w:rFonts w:hint="eastAsia" w:ascii="宋体" w:hAnsi="宋体" w:eastAsia="宋体" w:cs="宋体"/>
          <w:sz w:val="24"/>
          <w:szCs w:val="21"/>
        </w:rPr>
        <w:t>则：</w:t>
      </w:r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4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</w:rPr>
                    <m:t>10mm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×5℃×2×10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−6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℃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−1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6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≈0.05</m:t>
          </m:r>
          <m:r>
            <m:rPr>
              <m:sty m:val="p"/>
            </m:rPr>
            <w:rPr>
              <w:rFonts w:hint="eastAsia" w:ascii="Cambria Math" w:hAnsi="Cambria Math" w:eastAsia="宋体" w:cs="宋体"/>
              <w:szCs w:val="21"/>
            </w:rPr>
            <m:t>μm</m:t>
          </m:r>
        </m:oMath>
      </m:oMathPara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C.4　标准不确定度汇总表</w:t>
      </w:r>
    </w:p>
    <w:p>
      <w:pPr>
        <w:pStyle w:val="61"/>
        <w:spacing w:line="360" w:lineRule="auto"/>
        <w:ind w:firstLine="48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标准不确定度汇总表(见表C.3)</w:t>
      </w:r>
    </w:p>
    <w:p>
      <w:pPr>
        <w:pStyle w:val="61"/>
        <w:spacing w:line="360" w:lineRule="auto"/>
        <w:jc w:val="center"/>
        <w:rPr>
          <w:rFonts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C.3  标准不确定度汇总表</w:t>
      </w:r>
    </w:p>
    <w:tbl>
      <w:tblPr>
        <w:tblStyle w:val="3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94"/>
        <w:gridCol w:w="1936"/>
        <w:gridCol w:w="163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4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标准不确定度</w:t>
            </w: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不确定度来源</w:t>
            </w:r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不确定度值</w:t>
            </w:r>
          </w:p>
          <w:p>
            <w:pPr>
              <w:pStyle w:val="61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宋体"/>
                        <w:sz w:val="21"/>
                        <w:szCs w:val="21"/>
                      </w:rPr>
                      <m:t>μm</m:t>
                    </m: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905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灵敏系数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c</m:t>
                  </m:r>
                  <m:ctrlPr>
                    <w:rPr>
                      <w:rFonts w:ascii="Cambria Math" w:hAnsi="Cambria Math" w:cs="宋体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sz w:val="21"/>
                      <w:szCs w:val="21"/>
                    </w:rPr>
                  </m:ctrlPr>
                </m:sub>
              </m:sSub>
            </m:oMath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Calibri" w:hAnsi="Cambria Math" w:cs="宋体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cs="宋体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sz w:val="21"/>
                        <w:szCs w:val="21"/>
                      </w:rPr>
                      <m:t>c</m:t>
                    </m:r>
                    <m:ctrlPr>
                      <w:rPr>
                        <w:rFonts w:hint="eastAsia" w:ascii="Cambria Math" w:hAnsi="Cambria Math" w:cs="宋体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宋体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cs="宋体"/>
                        <w:i/>
                        <w:sz w:val="21"/>
                        <w:szCs w:val="21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cs="宋体"/>
                        <w:i/>
                        <w:iCs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</w:rPr>
                      <m:t>×</m:t>
                    </m:r>
                    <m:r>
                      <m:rPr/>
                      <w:rPr>
                        <w:rFonts w:hint="eastAsia" w:ascii="Cambria Math" w:hAnsi="Cambria Math" w:cs="宋体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cs="宋体"/>
                        <w:i/>
                        <w:iCs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cs="宋体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cs="宋体"/>
                        <w:i/>
                        <w:iCs/>
                        <w:sz w:val="21"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宋体"/>
                    <w:sz w:val="21"/>
                    <w:szCs w:val="21"/>
                  </w:rPr>
                  <m:t>μm</m:t>
                </m:r>
              </m:oMath>
            </m:oMathPara>
          </w:p>
          <w:p>
            <w:pPr>
              <w:pStyle w:val="61"/>
              <w:spacing w:line="360" w:lineRule="auto"/>
              <w:jc w:val="center"/>
              <w:rPr>
                <w:rFonts w:ascii="Calibri" w:hAnsi="Cambria Math" w:cs="宋体"/>
                <w:sz w:val="21"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宋体"/>
                        <w:sz w:val="21"/>
                        <w:szCs w:val="21"/>
                      </w:rPr>
                      <m:t>μm</m:t>
                    </m: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量块中心长度</w:t>
            </w:r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0.15</w:t>
            </w:r>
          </w:p>
        </w:tc>
        <w:tc>
          <w:tcPr>
            <w:tcW w:w="905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7" w:type="pct"/>
            <w:vMerge w:val="restar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光学计示值误差引入的不确定度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  <w:tc>
          <w:tcPr>
            <w:tcW w:w="905" w:type="pct"/>
            <w:vMerge w:val="restar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Calibri" w:hAnsi="Calibri"/>
                <w:iCs/>
                <w:sz w:val="21"/>
                <w:szCs w:val="21"/>
              </w:rPr>
              <w:t>测量重复性引入的不确定度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</w:t>
            </w: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Cambria Math" w:hAnsi="Cambria Math" w:eastAsia="宋体" w:cs="宋体"/>
                <w:sz w:val="21"/>
                <w:szCs w:val="21"/>
                <w:lang w:val="en-US" w:eastAsia="zh-CN"/>
                <w:oMath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标准</w:t>
            </w:r>
            <w:r>
              <w:rPr>
                <w:rFonts w:hint="eastAsia" w:ascii="宋体" w:hAnsi="宋体" w:cs="宋体"/>
                <w:sz w:val="21"/>
                <w:szCs w:val="21"/>
              </w:rPr>
              <w:t>厚度块和量块的温度差引入的不确定度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0.04</w:t>
            </w: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sz w:val="21"/>
                <w:szCs w:val="21"/>
              </w:rPr>
              <w:t>标准</w:t>
            </w:r>
            <w:r>
              <w:rPr>
                <w:rFonts w:hint="eastAsia" w:ascii="Calibri" w:hAnsi="Calibri"/>
                <w:sz w:val="21"/>
                <w:szCs w:val="21"/>
              </w:rPr>
              <w:t>厚度块与量块的</w:t>
            </w:r>
            <w:r>
              <w:rPr>
                <w:rFonts w:hint="eastAsia" w:ascii="宋体" w:hAnsi="宋体" w:cs="宋体"/>
                <w:sz w:val="21"/>
                <w:szCs w:val="21"/>
              </w:rPr>
              <w:t>线膨胀系数差引入的标准不确定度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0.05</w:t>
            </w: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0.05</w:t>
            </w:r>
          </w:p>
        </w:tc>
      </w:tr>
    </w:tbl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则：</w:t>
      </w:r>
      <m:oMath>
        <m:r>
          <w:rPr>
            <w:rFonts w:hint="eastAsia" w:ascii="Cambria Math" w:hAnsi="Cambria Math" w:eastAsia="宋体" w:cs="宋体"/>
            <w:sz w:val="24"/>
            <w:szCs w:val="21"/>
          </w:rPr>
          <w:br w:type="textWrapping"/>
        </m:r>
      </m:oMath>
      <m:oMathPara>
        <m:oMath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u</m:t>
          </m:r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rad>
            <m:radPr>
              <m:degHide m:val="1"/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deg>
            <m:e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+u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4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e>
          </m:rad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r>
            <m:rPr/>
            <w:rPr>
              <w:rFonts w:hint="eastAsia" w:ascii="Cambria Math" w:hAnsi="Cambria Math" w:eastAsia="宋体" w:cs="宋体"/>
              <w:sz w:val="24"/>
              <w:lang w:val="en-US" w:eastAsia="zh-CN"/>
            </w:rPr>
            <m:t>0.18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C.5　合成标准不确定度计算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c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H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</m:d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=</m:t>
          </m:r>
          <m:rad>
            <m:radPr>
              <m:degHide m:val="1"/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g>
            <m:e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c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p>
              <m:d>
                <m:d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宋体" w:cs="宋体"/>
                          <w:sz w:val="24"/>
                        </w:rPr>
                        <m:t>l</m:t>
                      </m:r>
                      <m:ctrlPr>
                        <w:rPr>
                          <w:rFonts w:hint="eastAsia" w:ascii="Cambria Math" w:hAnsi="Cambria Math" w:eastAsia="宋体" w:cs="宋体"/>
                          <w:i/>
                          <w:iCs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宋体" w:cs="宋体"/>
                          <w:sz w:val="24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宋体" w:cs="宋体"/>
                          <w:i/>
                          <w:iCs/>
                          <w:sz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</m:d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c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p>
              <m:d>
                <m:d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d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d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</m:rad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=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0.24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C.6　扩展不确定度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取包含因子</w:t>
      </w:r>
      <w:r>
        <w:rPr>
          <w:rFonts w:hint="default" w:ascii="Gabriola" w:hAnsi="Gabriola" w:eastAsia="宋体" w:cs="Gabriola"/>
          <w:i/>
          <w:iCs/>
          <w:sz w:val="24"/>
          <w:szCs w:val="21"/>
        </w:rPr>
        <w:t>k</w:t>
      </w:r>
      <w:r>
        <w:rPr>
          <w:rFonts w:hint="eastAsia" w:ascii="宋体" w:hAnsi="宋体" w:eastAsia="宋体" w:cs="宋体"/>
          <w:sz w:val="24"/>
          <w:szCs w:val="21"/>
        </w:rPr>
        <w:t xml:space="preserve"> </w:t>
      </w:r>
      <m:oMath>
        <m:r>
          <m:rPr/>
          <w:rPr>
            <w:rFonts w:hint="eastAsia" w:ascii="Cambria Math" w:hAnsi="Cambria Math" w:eastAsia="宋体" w:cs="宋体"/>
            <w:sz w:val="24"/>
          </w:rPr>
          <m:t>=2</m:t>
        </m:r>
      </m:oMath>
    </w:p>
    <w:p>
      <w:pPr>
        <w:pStyle w:val="61"/>
        <w:spacing w:line="360" w:lineRule="auto"/>
        <w:jc w:val="center"/>
        <w:rPr>
          <w:rFonts w:hint="eastAsia" w:ascii="宋体" w:hAnsi="宋体" w:eastAsia="宋体" w:cs="宋体"/>
          <w:sz w:val="24"/>
        </w:rPr>
      </w:pPr>
      <m:oMath>
        <m:r>
          <m:rPr/>
          <w:rPr>
            <w:rFonts w:hint="default" w:ascii="Cambria Math" w:hAnsi="Cambria Math" w:eastAsia="宋体" w:cs="宋体"/>
            <w:sz w:val="24"/>
            <w:szCs w:val="21"/>
          </w:rPr>
          <m:t>U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1"/>
          </w:rPr>
          <m:t>∙</m:t>
        </m:r>
      </m:oMath>
      <w:r>
        <w:rPr>
          <w:rFonts w:hint="default" w:ascii="Gabriola" w:hAnsi="Gabriola" w:eastAsia="宋体" w:cs="Gabriola"/>
          <w:i/>
          <w:iCs/>
          <w:sz w:val="24"/>
          <w:szCs w:val="21"/>
        </w:rPr>
        <w:t>k</w:t>
      </w:r>
      <w:r>
        <w:rPr>
          <w:rFonts w:hint="eastAsia" w:ascii="宋体" w:hAnsi="宋体" w:eastAsia="宋体" w:cs="宋体"/>
          <w:i/>
          <w:iCs/>
          <w:sz w:val="24"/>
          <w:szCs w:val="21"/>
        </w:rPr>
        <w:t xml:space="preserve"> 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=2×</m:t>
        </m:r>
        <m:r>
          <m:rPr/>
          <w:rPr>
            <w:rFonts w:hint="eastAsia" w:ascii="Cambria Math" w:hAnsi="Cambria Math" w:eastAsia="宋体" w:cs="宋体"/>
            <w:sz w:val="24"/>
            <w:szCs w:val="21"/>
            <w:lang w:val="en-US" w:eastAsia="zh-CN"/>
          </w:rPr>
          <m:t>0.24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=</m:t>
        </m:r>
        <m:r>
          <m:rPr/>
          <w:rPr>
            <w:rFonts w:hint="eastAsia" w:ascii="Cambria Math" w:hAnsi="Cambria Math" w:eastAsia="宋体" w:cs="宋体"/>
            <w:sz w:val="24"/>
            <w:szCs w:val="21"/>
            <w:lang w:val="en-US" w:eastAsia="zh-CN"/>
          </w:rPr>
          <m:t>0.48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μm</m:t>
        </m:r>
      </m:oMath>
    </w:p>
    <w:p>
      <w:pPr>
        <w:rPr>
          <w:rFonts w:ascii="宋体"/>
          <w:sz w:val="24"/>
        </w:rPr>
      </w:pPr>
      <w:r>
        <w:rPr>
          <w:rFonts w:hint="eastAsia" w:ascii="黑体" w:hAnsi="宋体" w:eastAsia="黑体"/>
          <w:bCs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1600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2.4pt;height:0pt;width:126pt;z-index:251668480;mso-width-relative:page;mso-height-relative:page;" filled="f" stroked="t" coordsize="21600,21600" o:gfxdata="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5LeqtYAAAAJAQAADwAAAAAAAAABACAAAAAiAAAAZHJzL2Rvd25yZXYueG1sUEsBAhQAFAAA&#10;AAgAh07iQNP4wav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宋体" w:hAnsi="宋体" w:eastAsia="宋体" w:cs="宋体"/>
          <w:b w:val="0"/>
          <w:bCs w:val="0"/>
          <w:sz w:val="84"/>
          <w:szCs w:val="84"/>
        </w:rPr>
      </w:pPr>
    </w:p>
    <w:p>
      <w:pPr>
        <w:pStyle w:val="2"/>
        <w:rPr>
          <w:rFonts w:ascii="宋体" w:hAnsi="宋体" w:eastAsia="宋体" w:cs="宋体"/>
          <w:b w:val="0"/>
          <w:bCs w:val="0"/>
          <w:sz w:val="84"/>
          <w:szCs w:val="84"/>
        </w:rPr>
        <w:sectPr>
          <w:headerReference r:id="rId10" w:type="default"/>
          <w:footerReference r:id="rId11" w:type="default"/>
          <w:pgSz w:w="11906" w:h="16838"/>
          <w:pgMar w:top="1531" w:right="1531" w:bottom="1417" w:left="1531" w:header="851" w:footer="992" w:gutter="0"/>
          <w:pgNumType w:start="1"/>
          <w:cols w:space="0" w:num="1"/>
          <w:docGrid w:type="lines" w:linePitch="312" w:charSpace="0"/>
        </w:sectPr>
      </w:pPr>
    </w:p>
    <w:p>
      <w:pPr>
        <w:spacing w:line="0" w:lineRule="atLeast"/>
        <w:rPr>
          <w:rFonts w:ascii="仿宋" w:hAnsi="仿宋" w:eastAsia="仿宋" w:cs="仿宋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6929755</wp:posOffset>
                </wp:positionH>
                <wp:positionV relativeFrom="page">
                  <wp:posOffset>1189355</wp:posOffset>
                </wp:positionV>
                <wp:extent cx="402590" cy="1616710"/>
                <wp:effectExtent l="0" t="0" r="3810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2023</w:t>
                            </w:r>
                          </w:p>
                        </w:txbxContent>
                      </wps:txbx>
                      <wps:bodyPr vert="vert270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5.65pt;margin-top:93.65pt;height:127.3pt;width:31.7pt;mso-position-horizontal-relative:page;mso-position-vertical-relative:page;z-index:251667456;mso-width-relative:page;mso-height-relative:page;" fillcolor="#FFFFFF" filled="t" stroked="f" coordsize="21600,21600" o:gfxdata="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pR7TdoAAAANAQAADwAAAAAAAAABACAAAAAiAAAAZHJzL2Rvd25yZXYueG1sUEsBAhQAFAAAAAgA&#10;h07iQLbGmybqAQAA1AMAAA4AAAAAAAAAAQAgAAAAKQEAAGRycy9lMm9Eb2MueG1sUEsFBgAAAAAG&#10;AAYAWQEAAIUFAAAAAA==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>
                      <w:pPr>
                        <w:pStyle w:val="2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12" w:type="default"/>
      <w:footerReference r:id="rId13" w:type="default"/>
      <w:pgSz w:w="11906" w:h="16838"/>
      <w:pgMar w:top="1418" w:right="1418" w:bottom="709" w:left="1701" w:header="1587" w:footer="851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54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end"/>
    </w:r>
  </w:p>
  <w:p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ind w:right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III</w:t>
    </w:r>
    <w:r>
      <w:fldChar w:fldCharType="end"/>
    </w:r>
  </w:p>
  <w:p>
    <w:pPr>
      <w:pStyle w:val="18"/>
      <w:ind w:righ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aEQL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cWxO25x4Jcf3y8/f19+fSOv&#10;sjx9gAaz7gPmpeGtH3Bp5nvAy8x6UNHmL/IhGEdxz1dx5ZCIyI/Wq/W6xpDA2OwgfvXwPERI76S3&#10;JBuMRpxeEZWfPkAaU+eUXM35O21MmaBxpGf05uXrujy4RhDcOKyRSYzNZisN+2FitvftGYn1uAGM&#10;Olx4Ssx7hwLnZZmNOBv72TiGqA8d9rgs9SC8OSbspjSZK4ywU2EcXaE5rVnejb/9kvXw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i2hEC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4" w:space="3"/>
      </w:pBdr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JJF（黑）XX-2023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04" w:lineRule="auto"/>
      <w:jc w:val="center"/>
      <w:rPr>
        <w:rFonts w:eastAsia="黑体"/>
      </w:rPr>
    </w:pPr>
    <w:r>
      <w:rPr>
        <w:rFonts w:ascii="黑体" w:hAnsi="黑体" w:eastAsia="黑体" w:cs="黑体"/>
        <w:spacing w:val="10"/>
        <w:szCs w:val="21"/>
      </w:rPr>
      <w:t>JJF（黑）</w:t>
    </w:r>
    <w:r>
      <w:rPr>
        <w:rFonts w:hint="eastAsia" w:ascii="黑体" w:hAnsi="黑体" w:eastAsia="黑体" w:cs="黑体"/>
        <w:spacing w:val="10"/>
        <w:szCs w:val="21"/>
      </w:rPr>
      <w:t>XX</w:t>
    </w:r>
    <w:r>
      <w:rPr>
        <w:rFonts w:ascii="黑体" w:hAnsi="黑体" w:eastAsia="黑体" w:cs="黑体"/>
        <w:spacing w:val="10"/>
        <w:szCs w:val="21"/>
      </w:rPr>
      <w:t>－</w:t>
    </w:r>
    <w:r>
      <w:rPr>
        <w:rFonts w:hint="eastAsia" w:ascii="黑体" w:hAnsi="黑体" w:eastAsia="黑体" w:cs="黑体"/>
        <w:spacing w:val="10"/>
        <w:szCs w:val="21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0C5FE"/>
    <w:multiLevelType w:val="singleLevel"/>
    <w:tmpl w:val="2320C5F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DMxMTY2NTMyNzhjMzRjN2QzNTMwMzYzMmRmODkifQ=="/>
  </w:docVars>
  <w:rsids>
    <w:rsidRoot w:val="00172A27"/>
    <w:rsid w:val="00000F56"/>
    <w:rsid w:val="000018D1"/>
    <w:rsid w:val="00021C75"/>
    <w:rsid w:val="00031562"/>
    <w:rsid w:val="000324A1"/>
    <w:rsid w:val="00033035"/>
    <w:rsid w:val="00045923"/>
    <w:rsid w:val="00090EF3"/>
    <w:rsid w:val="000A19CC"/>
    <w:rsid w:val="000C6B2E"/>
    <w:rsid w:val="000D7E78"/>
    <w:rsid w:val="001012AD"/>
    <w:rsid w:val="00111244"/>
    <w:rsid w:val="00144453"/>
    <w:rsid w:val="00150869"/>
    <w:rsid w:val="00157B22"/>
    <w:rsid w:val="00172A27"/>
    <w:rsid w:val="001830D1"/>
    <w:rsid w:val="00184058"/>
    <w:rsid w:val="00190474"/>
    <w:rsid w:val="00193BF3"/>
    <w:rsid w:val="00195DA2"/>
    <w:rsid w:val="001A2B36"/>
    <w:rsid w:val="001B0725"/>
    <w:rsid w:val="001B1861"/>
    <w:rsid w:val="001B34AC"/>
    <w:rsid w:val="001B5157"/>
    <w:rsid w:val="001C5B65"/>
    <w:rsid w:val="001E02DC"/>
    <w:rsid w:val="001E3029"/>
    <w:rsid w:val="001E39F0"/>
    <w:rsid w:val="00226B91"/>
    <w:rsid w:val="00255FC2"/>
    <w:rsid w:val="00290F44"/>
    <w:rsid w:val="00297F72"/>
    <w:rsid w:val="002B6EE6"/>
    <w:rsid w:val="002D4947"/>
    <w:rsid w:val="002F4E6D"/>
    <w:rsid w:val="00304E7F"/>
    <w:rsid w:val="00394E89"/>
    <w:rsid w:val="0039652E"/>
    <w:rsid w:val="003A2A5A"/>
    <w:rsid w:val="003D3B9C"/>
    <w:rsid w:val="004078D1"/>
    <w:rsid w:val="00412EA1"/>
    <w:rsid w:val="00415C49"/>
    <w:rsid w:val="004266F8"/>
    <w:rsid w:val="004319B4"/>
    <w:rsid w:val="0043733A"/>
    <w:rsid w:val="0046041D"/>
    <w:rsid w:val="004852E8"/>
    <w:rsid w:val="004962F8"/>
    <w:rsid w:val="004A538D"/>
    <w:rsid w:val="004A6B46"/>
    <w:rsid w:val="004C7675"/>
    <w:rsid w:val="0051442E"/>
    <w:rsid w:val="00533858"/>
    <w:rsid w:val="0053576D"/>
    <w:rsid w:val="00560A27"/>
    <w:rsid w:val="005904AF"/>
    <w:rsid w:val="005906ED"/>
    <w:rsid w:val="00590DBC"/>
    <w:rsid w:val="005C6A91"/>
    <w:rsid w:val="005F4D62"/>
    <w:rsid w:val="005F6555"/>
    <w:rsid w:val="006170C8"/>
    <w:rsid w:val="00624310"/>
    <w:rsid w:val="0062569A"/>
    <w:rsid w:val="006455F8"/>
    <w:rsid w:val="006534CA"/>
    <w:rsid w:val="00662137"/>
    <w:rsid w:val="00670F77"/>
    <w:rsid w:val="006A5488"/>
    <w:rsid w:val="006E2937"/>
    <w:rsid w:val="006E335F"/>
    <w:rsid w:val="006E44C9"/>
    <w:rsid w:val="006E4D2F"/>
    <w:rsid w:val="006E5A5B"/>
    <w:rsid w:val="006F6E2B"/>
    <w:rsid w:val="00712EBA"/>
    <w:rsid w:val="00723AE2"/>
    <w:rsid w:val="00726F27"/>
    <w:rsid w:val="007579A8"/>
    <w:rsid w:val="007637D0"/>
    <w:rsid w:val="00770F0F"/>
    <w:rsid w:val="0077461B"/>
    <w:rsid w:val="007770A1"/>
    <w:rsid w:val="007B5836"/>
    <w:rsid w:val="007C4F93"/>
    <w:rsid w:val="007D5B39"/>
    <w:rsid w:val="007F6677"/>
    <w:rsid w:val="0081222A"/>
    <w:rsid w:val="00843772"/>
    <w:rsid w:val="00847442"/>
    <w:rsid w:val="0085312B"/>
    <w:rsid w:val="008570EF"/>
    <w:rsid w:val="00876966"/>
    <w:rsid w:val="00882BE2"/>
    <w:rsid w:val="00887EF5"/>
    <w:rsid w:val="008B1645"/>
    <w:rsid w:val="008B335A"/>
    <w:rsid w:val="0091727D"/>
    <w:rsid w:val="0092299A"/>
    <w:rsid w:val="00931341"/>
    <w:rsid w:val="009325C8"/>
    <w:rsid w:val="009338F1"/>
    <w:rsid w:val="00950240"/>
    <w:rsid w:val="009603AA"/>
    <w:rsid w:val="00962DB1"/>
    <w:rsid w:val="0097492F"/>
    <w:rsid w:val="0098142D"/>
    <w:rsid w:val="0098238B"/>
    <w:rsid w:val="009A3ED6"/>
    <w:rsid w:val="009A5DC6"/>
    <w:rsid w:val="009B171C"/>
    <w:rsid w:val="009E026F"/>
    <w:rsid w:val="009F1F18"/>
    <w:rsid w:val="009F28CF"/>
    <w:rsid w:val="009F5263"/>
    <w:rsid w:val="00A303A1"/>
    <w:rsid w:val="00A330D2"/>
    <w:rsid w:val="00A54A24"/>
    <w:rsid w:val="00A6458A"/>
    <w:rsid w:val="00A74F91"/>
    <w:rsid w:val="00A76DD0"/>
    <w:rsid w:val="00AA450E"/>
    <w:rsid w:val="00AB790F"/>
    <w:rsid w:val="00AD4D13"/>
    <w:rsid w:val="00AF4257"/>
    <w:rsid w:val="00B0769E"/>
    <w:rsid w:val="00B11F26"/>
    <w:rsid w:val="00B1396E"/>
    <w:rsid w:val="00B203AB"/>
    <w:rsid w:val="00B274A7"/>
    <w:rsid w:val="00B624BA"/>
    <w:rsid w:val="00B7185B"/>
    <w:rsid w:val="00B80C95"/>
    <w:rsid w:val="00B83319"/>
    <w:rsid w:val="00B84D56"/>
    <w:rsid w:val="00B863A5"/>
    <w:rsid w:val="00B912B1"/>
    <w:rsid w:val="00B91696"/>
    <w:rsid w:val="00B95FC5"/>
    <w:rsid w:val="00BB1089"/>
    <w:rsid w:val="00BD2AC7"/>
    <w:rsid w:val="00BD2BCB"/>
    <w:rsid w:val="00BD7D54"/>
    <w:rsid w:val="00BF73C1"/>
    <w:rsid w:val="00BF7BC0"/>
    <w:rsid w:val="00C0414F"/>
    <w:rsid w:val="00C06315"/>
    <w:rsid w:val="00C150AF"/>
    <w:rsid w:val="00C3688E"/>
    <w:rsid w:val="00C53AC7"/>
    <w:rsid w:val="00C643CD"/>
    <w:rsid w:val="00C70534"/>
    <w:rsid w:val="00CA44EE"/>
    <w:rsid w:val="00CB43AE"/>
    <w:rsid w:val="00CB5715"/>
    <w:rsid w:val="00CC26C0"/>
    <w:rsid w:val="00CF506C"/>
    <w:rsid w:val="00D14E72"/>
    <w:rsid w:val="00D27431"/>
    <w:rsid w:val="00D343C2"/>
    <w:rsid w:val="00D448C9"/>
    <w:rsid w:val="00D46145"/>
    <w:rsid w:val="00D57891"/>
    <w:rsid w:val="00D670FF"/>
    <w:rsid w:val="00D77CAE"/>
    <w:rsid w:val="00D83898"/>
    <w:rsid w:val="00D94E4A"/>
    <w:rsid w:val="00DC211E"/>
    <w:rsid w:val="00DC7095"/>
    <w:rsid w:val="00DC7BCB"/>
    <w:rsid w:val="00DD74CC"/>
    <w:rsid w:val="00DF126F"/>
    <w:rsid w:val="00DF7D4C"/>
    <w:rsid w:val="00E01747"/>
    <w:rsid w:val="00E019D5"/>
    <w:rsid w:val="00E12786"/>
    <w:rsid w:val="00E17D68"/>
    <w:rsid w:val="00E22371"/>
    <w:rsid w:val="00E24D24"/>
    <w:rsid w:val="00E34D8E"/>
    <w:rsid w:val="00E444D9"/>
    <w:rsid w:val="00E5320D"/>
    <w:rsid w:val="00E61153"/>
    <w:rsid w:val="00E74A7A"/>
    <w:rsid w:val="00E832A1"/>
    <w:rsid w:val="00EF3B44"/>
    <w:rsid w:val="00F04289"/>
    <w:rsid w:val="00F11ACA"/>
    <w:rsid w:val="00F2314C"/>
    <w:rsid w:val="00F25D82"/>
    <w:rsid w:val="00F3027C"/>
    <w:rsid w:val="00F311E6"/>
    <w:rsid w:val="00F557D3"/>
    <w:rsid w:val="00F656C5"/>
    <w:rsid w:val="00F86357"/>
    <w:rsid w:val="00FA758B"/>
    <w:rsid w:val="00FB6C5F"/>
    <w:rsid w:val="00FC4DF1"/>
    <w:rsid w:val="00FC6242"/>
    <w:rsid w:val="00FF644A"/>
    <w:rsid w:val="013949DB"/>
    <w:rsid w:val="01631D80"/>
    <w:rsid w:val="019670C1"/>
    <w:rsid w:val="01A259DD"/>
    <w:rsid w:val="024967D0"/>
    <w:rsid w:val="02674DC2"/>
    <w:rsid w:val="028A0E54"/>
    <w:rsid w:val="02BF2237"/>
    <w:rsid w:val="041F679F"/>
    <w:rsid w:val="048D4D1B"/>
    <w:rsid w:val="04FA2DE3"/>
    <w:rsid w:val="05331242"/>
    <w:rsid w:val="053A5586"/>
    <w:rsid w:val="060914B4"/>
    <w:rsid w:val="068F5A88"/>
    <w:rsid w:val="072E704C"/>
    <w:rsid w:val="075C4F36"/>
    <w:rsid w:val="07601DED"/>
    <w:rsid w:val="07BB2D4B"/>
    <w:rsid w:val="07C47600"/>
    <w:rsid w:val="086C25E1"/>
    <w:rsid w:val="088F1D3B"/>
    <w:rsid w:val="08D35DAA"/>
    <w:rsid w:val="08F16230"/>
    <w:rsid w:val="08FC4539"/>
    <w:rsid w:val="0A030A8C"/>
    <w:rsid w:val="0A073F5D"/>
    <w:rsid w:val="0A0D76E0"/>
    <w:rsid w:val="0A103E41"/>
    <w:rsid w:val="0B5648F4"/>
    <w:rsid w:val="0B5B4ECD"/>
    <w:rsid w:val="0BF14452"/>
    <w:rsid w:val="0BFB5ADD"/>
    <w:rsid w:val="0C230F06"/>
    <w:rsid w:val="0C321039"/>
    <w:rsid w:val="0C4F4C2E"/>
    <w:rsid w:val="0C943AA2"/>
    <w:rsid w:val="0C9910B8"/>
    <w:rsid w:val="0CF85FCA"/>
    <w:rsid w:val="0E482CCF"/>
    <w:rsid w:val="0E4F6C8C"/>
    <w:rsid w:val="0E611762"/>
    <w:rsid w:val="0E651252"/>
    <w:rsid w:val="0EA30AE7"/>
    <w:rsid w:val="0EB86D3C"/>
    <w:rsid w:val="0ED26CA8"/>
    <w:rsid w:val="0F3C2643"/>
    <w:rsid w:val="0F3C79B2"/>
    <w:rsid w:val="10706132"/>
    <w:rsid w:val="10861954"/>
    <w:rsid w:val="112F7D54"/>
    <w:rsid w:val="1186525A"/>
    <w:rsid w:val="11B56E66"/>
    <w:rsid w:val="1210081D"/>
    <w:rsid w:val="12457C37"/>
    <w:rsid w:val="1250652A"/>
    <w:rsid w:val="12712771"/>
    <w:rsid w:val="12791770"/>
    <w:rsid w:val="1345619B"/>
    <w:rsid w:val="14231B7F"/>
    <w:rsid w:val="14874E15"/>
    <w:rsid w:val="14A63E8B"/>
    <w:rsid w:val="14DB6AA5"/>
    <w:rsid w:val="15317314"/>
    <w:rsid w:val="153670FB"/>
    <w:rsid w:val="15966A1F"/>
    <w:rsid w:val="15AB6873"/>
    <w:rsid w:val="15C745A0"/>
    <w:rsid w:val="15E13E2A"/>
    <w:rsid w:val="15F4399F"/>
    <w:rsid w:val="1618304E"/>
    <w:rsid w:val="16280082"/>
    <w:rsid w:val="164B5BFE"/>
    <w:rsid w:val="16702E8A"/>
    <w:rsid w:val="17397720"/>
    <w:rsid w:val="177C1C15"/>
    <w:rsid w:val="17A80401"/>
    <w:rsid w:val="18616F2E"/>
    <w:rsid w:val="189078DA"/>
    <w:rsid w:val="19307637"/>
    <w:rsid w:val="19591B5F"/>
    <w:rsid w:val="197954A4"/>
    <w:rsid w:val="197C519F"/>
    <w:rsid w:val="19835B73"/>
    <w:rsid w:val="1988186B"/>
    <w:rsid w:val="198F73C1"/>
    <w:rsid w:val="1A0E05FD"/>
    <w:rsid w:val="1A246465"/>
    <w:rsid w:val="1A283D75"/>
    <w:rsid w:val="1A4750FE"/>
    <w:rsid w:val="1AA03006"/>
    <w:rsid w:val="1ABD0228"/>
    <w:rsid w:val="1B3F2C9E"/>
    <w:rsid w:val="1BC752FA"/>
    <w:rsid w:val="1C3E520E"/>
    <w:rsid w:val="1C684463"/>
    <w:rsid w:val="1C770E0A"/>
    <w:rsid w:val="1C870434"/>
    <w:rsid w:val="1CDF713A"/>
    <w:rsid w:val="1CEC56C6"/>
    <w:rsid w:val="1D1C4239"/>
    <w:rsid w:val="1D411C80"/>
    <w:rsid w:val="1D926724"/>
    <w:rsid w:val="1E107F6E"/>
    <w:rsid w:val="1E2C2953"/>
    <w:rsid w:val="1E9A1406"/>
    <w:rsid w:val="1EAD19E5"/>
    <w:rsid w:val="1F5570C1"/>
    <w:rsid w:val="1FD96CCE"/>
    <w:rsid w:val="1FEB1241"/>
    <w:rsid w:val="206F53F4"/>
    <w:rsid w:val="20757A94"/>
    <w:rsid w:val="20903435"/>
    <w:rsid w:val="2092466C"/>
    <w:rsid w:val="20E00F4C"/>
    <w:rsid w:val="20F14BC7"/>
    <w:rsid w:val="20F5272C"/>
    <w:rsid w:val="20FE0F21"/>
    <w:rsid w:val="21052367"/>
    <w:rsid w:val="210D5EA9"/>
    <w:rsid w:val="212705E9"/>
    <w:rsid w:val="2133507B"/>
    <w:rsid w:val="214A43F4"/>
    <w:rsid w:val="215001A9"/>
    <w:rsid w:val="21732247"/>
    <w:rsid w:val="21745C53"/>
    <w:rsid w:val="21AC1FDB"/>
    <w:rsid w:val="21DC5877"/>
    <w:rsid w:val="221243B2"/>
    <w:rsid w:val="226C0EC8"/>
    <w:rsid w:val="2271206B"/>
    <w:rsid w:val="22925F36"/>
    <w:rsid w:val="22D90DFA"/>
    <w:rsid w:val="23BE3503"/>
    <w:rsid w:val="23C67B2A"/>
    <w:rsid w:val="24147C58"/>
    <w:rsid w:val="24B16B47"/>
    <w:rsid w:val="24C820E3"/>
    <w:rsid w:val="2532799E"/>
    <w:rsid w:val="2599235C"/>
    <w:rsid w:val="25C805EC"/>
    <w:rsid w:val="25DA0320"/>
    <w:rsid w:val="261A2F32"/>
    <w:rsid w:val="26CD739C"/>
    <w:rsid w:val="26E52AD8"/>
    <w:rsid w:val="27C0078D"/>
    <w:rsid w:val="286D6F63"/>
    <w:rsid w:val="28A469A3"/>
    <w:rsid w:val="28E3573D"/>
    <w:rsid w:val="29E11C7D"/>
    <w:rsid w:val="29E53C14"/>
    <w:rsid w:val="2A061630"/>
    <w:rsid w:val="2A1F6249"/>
    <w:rsid w:val="2A5266D7"/>
    <w:rsid w:val="2ADB0099"/>
    <w:rsid w:val="2B1624EF"/>
    <w:rsid w:val="2B904B02"/>
    <w:rsid w:val="2BFF790C"/>
    <w:rsid w:val="2C58061A"/>
    <w:rsid w:val="2C7F5A34"/>
    <w:rsid w:val="2CAD4F59"/>
    <w:rsid w:val="2CB96A46"/>
    <w:rsid w:val="2CC55FAB"/>
    <w:rsid w:val="2D6A6DA8"/>
    <w:rsid w:val="2D6F535B"/>
    <w:rsid w:val="2D70480D"/>
    <w:rsid w:val="2E3145A7"/>
    <w:rsid w:val="2F015C75"/>
    <w:rsid w:val="2F0160C1"/>
    <w:rsid w:val="2F267493"/>
    <w:rsid w:val="2FF87E1B"/>
    <w:rsid w:val="309D570A"/>
    <w:rsid w:val="311236B3"/>
    <w:rsid w:val="312B5ED3"/>
    <w:rsid w:val="31CB25C6"/>
    <w:rsid w:val="32136105"/>
    <w:rsid w:val="32583FFA"/>
    <w:rsid w:val="32CD77ED"/>
    <w:rsid w:val="33356B95"/>
    <w:rsid w:val="3352084C"/>
    <w:rsid w:val="33D65933"/>
    <w:rsid w:val="342B11BF"/>
    <w:rsid w:val="345F6F03"/>
    <w:rsid w:val="347A51A8"/>
    <w:rsid w:val="34ED7E80"/>
    <w:rsid w:val="355754E9"/>
    <w:rsid w:val="355A28E3"/>
    <w:rsid w:val="356521C9"/>
    <w:rsid w:val="36D31349"/>
    <w:rsid w:val="36F000AB"/>
    <w:rsid w:val="37136945"/>
    <w:rsid w:val="373B6744"/>
    <w:rsid w:val="376C5AC1"/>
    <w:rsid w:val="38193E1D"/>
    <w:rsid w:val="3893215A"/>
    <w:rsid w:val="38DB378E"/>
    <w:rsid w:val="39412433"/>
    <w:rsid w:val="39E76710"/>
    <w:rsid w:val="3A40479E"/>
    <w:rsid w:val="3A5E2209"/>
    <w:rsid w:val="3AAF36D1"/>
    <w:rsid w:val="3AE14E82"/>
    <w:rsid w:val="3AF37A62"/>
    <w:rsid w:val="3B0317FE"/>
    <w:rsid w:val="3B263F55"/>
    <w:rsid w:val="3B580DE7"/>
    <w:rsid w:val="3BAC0FDC"/>
    <w:rsid w:val="3BB56AC5"/>
    <w:rsid w:val="3C137C90"/>
    <w:rsid w:val="3C2F0C5E"/>
    <w:rsid w:val="3C700C3E"/>
    <w:rsid w:val="3CB11B5A"/>
    <w:rsid w:val="3CBB196F"/>
    <w:rsid w:val="3CD207F1"/>
    <w:rsid w:val="3CE66EFE"/>
    <w:rsid w:val="3D0E2985"/>
    <w:rsid w:val="3D2008B6"/>
    <w:rsid w:val="3D840E1A"/>
    <w:rsid w:val="3D9173BB"/>
    <w:rsid w:val="3E0C3669"/>
    <w:rsid w:val="3E1E3487"/>
    <w:rsid w:val="3E2E7003"/>
    <w:rsid w:val="3E6D18D9"/>
    <w:rsid w:val="3E954C01"/>
    <w:rsid w:val="3ED602C6"/>
    <w:rsid w:val="3EDC6578"/>
    <w:rsid w:val="3F1029A7"/>
    <w:rsid w:val="401E4D17"/>
    <w:rsid w:val="403C4904"/>
    <w:rsid w:val="404E1296"/>
    <w:rsid w:val="41141B7D"/>
    <w:rsid w:val="41642261"/>
    <w:rsid w:val="4168282C"/>
    <w:rsid w:val="41807B75"/>
    <w:rsid w:val="430807E6"/>
    <w:rsid w:val="439711A6"/>
    <w:rsid w:val="43A55671"/>
    <w:rsid w:val="43AE6726"/>
    <w:rsid w:val="43DF34D4"/>
    <w:rsid w:val="441B3B85"/>
    <w:rsid w:val="441E32AC"/>
    <w:rsid w:val="442B0ED1"/>
    <w:rsid w:val="44D72073"/>
    <w:rsid w:val="45AD256B"/>
    <w:rsid w:val="45AD272F"/>
    <w:rsid w:val="45B918A8"/>
    <w:rsid w:val="4642004E"/>
    <w:rsid w:val="46B26207"/>
    <w:rsid w:val="46F95746"/>
    <w:rsid w:val="47321FD8"/>
    <w:rsid w:val="47A602CA"/>
    <w:rsid w:val="47C436EF"/>
    <w:rsid w:val="480F6074"/>
    <w:rsid w:val="48390389"/>
    <w:rsid w:val="48445965"/>
    <w:rsid w:val="48BE2F6F"/>
    <w:rsid w:val="48EB35C9"/>
    <w:rsid w:val="49804BB7"/>
    <w:rsid w:val="49A40750"/>
    <w:rsid w:val="49E32D64"/>
    <w:rsid w:val="4A2875EE"/>
    <w:rsid w:val="4A2B56FB"/>
    <w:rsid w:val="4A6E2C61"/>
    <w:rsid w:val="4AA315E3"/>
    <w:rsid w:val="4B0D41EE"/>
    <w:rsid w:val="4B243ECE"/>
    <w:rsid w:val="4BA758DA"/>
    <w:rsid w:val="4BB84CE2"/>
    <w:rsid w:val="4C33598D"/>
    <w:rsid w:val="4CDA0570"/>
    <w:rsid w:val="4CDF1BF4"/>
    <w:rsid w:val="4CEF1B67"/>
    <w:rsid w:val="4D0A29E9"/>
    <w:rsid w:val="4D265A75"/>
    <w:rsid w:val="4D40423C"/>
    <w:rsid w:val="4D62074A"/>
    <w:rsid w:val="4D79007C"/>
    <w:rsid w:val="4D891AC0"/>
    <w:rsid w:val="4DDC4B7C"/>
    <w:rsid w:val="4E085C40"/>
    <w:rsid w:val="4F5A1A06"/>
    <w:rsid w:val="4F8B451C"/>
    <w:rsid w:val="50874A7C"/>
    <w:rsid w:val="50FD78F7"/>
    <w:rsid w:val="50FF7383"/>
    <w:rsid w:val="512B729E"/>
    <w:rsid w:val="518106FB"/>
    <w:rsid w:val="51B64EEE"/>
    <w:rsid w:val="51F22CA4"/>
    <w:rsid w:val="522A2B4F"/>
    <w:rsid w:val="522F19D7"/>
    <w:rsid w:val="52674988"/>
    <w:rsid w:val="52FE4D9E"/>
    <w:rsid w:val="53BB4A3D"/>
    <w:rsid w:val="54394E38"/>
    <w:rsid w:val="543E3D75"/>
    <w:rsid w:val="54640C31"/>
    <w:rsid w:val="548C2946"/>
    <w:rsid w:val="548E14C3"/>
    <w:rsid w:val="551A1E22"/>
    <w:rsid w:val="553E1482"/>
    <w:rsid w:val="55460AE2"/>
    <w:rsid w:val="554F4F5D"/>
    <w:rsid w:val="55510CFA"/>
    <w:rsid w:val="55D43E6F"/>
    <w:rsid w:val="55F630DD"/>
    <w:rsid w:val="56E524FD"/>
    <w:rsid w:val="570138DC"/>
    <w:rsid w:val="579C55B7"/>
    <w:rsid w:val="57CF2865"/>
    <w:rsid w:val="5819155B"/>
    <w:rsid w:val="5862192B"/>
    <w:rsid w:val="58AE6C24"/>
    <w:rsid w:val="59036C6A"/>
    <w:rsid w:val="59047560"/>
    <w:rsid w:val="590A624B"/>
    <w:rsid w:val="5928261F"/>
    <w:rsid w:val="5A0F662E"/>
    <w:rsid w:val="5A1D1FAE"/>
    <w:rsid w:val="5A3115B5"/>
    <w:rsid w:val="5AF96EA8"/>
    <w:rsid w:val="5B094E36"/>
    <w:rsid w:val="5B8147BE"/>
    <w:rsid w:val="5B8D53FB"/>
    <w:rsid w:val="5BC67C01"/>
    <w:rsid w:val="5BDC2A20"/>
    <w:rsid w:val="5C4068B7"/>
    <w:rsid w:val="5C747582"/>
    <w:rsid w:val="5C9A1694"/>
    <w:rsid w:val="5CE15514"/>
    <w:rsid w:val="5CF666DB"/>
    <w:rsid w:val="5D057255"/>
    <w:rsid w:val="5D2418A5"/>
    <w:rsid w:val="5D865DAE"/>
    <w:rsid w:val="5DE9282B"/>
    <w:rsid w:val="5DF67CB8"/>
    <w:rsid w:val="5E7D126D"/>
    <w:rsid w:val="5EB27540"/>
    <w:rsid w:val="5ECD013E"/>
    <w:rsid w:val="5EF13A09"/>
    <w:rsid w:val="5F1746BB"/>
    <w:rsid w:val="5F6661A5"/>
    <w:rsid w:val="5FBC5CE4"/>
    <w:rsid w:val="5FC03B07"/>
    <w:rsid w:val="5FD041CF"/>
    <w:rsid w:val="60674EF4"/>
    <w:rsid w:val="60A17DB4"/>
    <w:rsid w:val="61E57855"/>
    <w:rsid w:val="61E57D6C"/>
    <w:rsid w:val="622C5484"/>
    <w:rsid w:val="635C2035"/>
    <w:rsid w:val="637C01E0"/>
    <w:rsid w:val="63CA32E6"/>
    <w:rsid w:val="63E00790"/>
    <w:rsid w:val="63E453B6"/>
    <w:rsid w:val="64091C91"/>
    <w:rsid w:val="64132724"/>
    <w:rsid w:val="642F5116"/>
    <w:rsid w:val="645760BC"/>
    <w:rsid w:val="6472739A"/>
    <w:rsid w:val="64C30A18"/>
    <w:rsid w:val="64CF6463"/>
    <w:rsid w:val="653939FB"/>
    <w:rsid w:val="65D129E1"/>
    <w:rsid w:val="66576416"/>
    <w:rsid w:val="66763171"/>
    <w:rsid w:val="672D03EC"/>
    <w:rsid w:val="6780475B"/>
    <w:rsid w:val="67A12577"/>
    <w:rsid w:val="688B4061"/>
    <w:rsid w:val="68935799"/>
    <w:rsid w:val="689C2C37"/>
    <w:rsid w:val="68E8755D"/>
    <w:rsid w:val="68F91E38"/>
    <w:rsid w:val="6956619F"/>
    <w:rsid w:val="69566F57"/>
    <w:rsid w:val="699C5B6F"/>
    <w:rsid w:val="69EA1902"/>
    <w:rsid w:val="69EA3831"/>
    <w:rsid w:val="69FF06E6"/>
    <w:rsid w:val="6A2F45DD"/>
    <w:rsid w:val="6A95793E"/>
    <w:rsid w:val="6A9E2C97"/>
    <w:rsid w:val="6ACB4B63"/>
    <w:rsid w:val="6AEF3636"/>
    <w:rsid w:val="6B010EA3"/>
    <w:rsid w:val="6B574BF4"/>
    <w:rsid w:val="6BBB5226"/>
    <w:rsid w:val="6BEA1734"/>
    <w:rsid w:val="6C2403D7"/>
    <w:rsid w:val="6D1A237D"/>
    <w:rsid w:val="6D2C5FEE"/>
    <w:rsid w:val="6D68133A"/>
    <w:rsid w:val="6D726626"/>
    <w:rsid w:val="6D802F7D"/>
    <w:rsid w:val="6DA22A9E"/>
    <w:rsid w:val="6DA902BF"/>
    <w:rsid w:val="6E0366A4"/>
    <w:rsid w:val="6E446644"/>
    <w:rsid w:val="6E5813AF"/>
    <w:rsid w:val="6E851A78"/>
    <w:rsid w:val="6EB07262"/>
    <w:rsid w:val="6F2D55FA"/>
    <w:rsid w:val="6F356BC9"/>
    <w:rsid w:val="6F6039FA"/>
    <w:rsid w:val="6FD2104B"/>
    <w:rsid w:val="6FDA5704"/>
    <w:rsid w:val="700B7313"/>
    <w:rsid w:val="70E205E7"/>
    <w:rsid w:val="71162A2A"/>
    <w:rsid w:val="711C6C04"/>
    <w:rsid w:val="71B132B0"/>
    <w:rsid w:val="728B1D53"/>
    <w:rsid w:val="72CE60E3"/>
    <w:rsid w:val="72E871A5"/>
    <w:rsid w:val="72FA32DC"/>
    <w:rsid w:val="737F1B89"/>
    <w:rsid w:val="738F3209"/>
    <w:rsid w:val="73B52533"/>
    <w:rsid w:val="73FE3FA7"/>
    <w:rsid w:val="744779DD"/>
    <w:rsid w:val="74602642"/>
    <w:rsid w:val="746D7236"/>
    <w:rsid w:val="746F7452"/>
    <w:rsid w:val="7499002B"/>
    <w:rsid w:val="75C90F32"/>
    <w:rsid w:val="765B5EE0"/>
    <w:rsid w:val="766052A4"/>
    <w:rsid w:val="76A31897"/>
    <w:rsid w:val="76D4549D"/>
    <w:rsid w:val="76EC2057"/>
    <w:rsid w:val="7772528F"/>
    <w:rsid w:val="77B77066"/>
    <w:rsid w:val="77FA4C51"/>
    <w:rsid w:val="78090F70"/>
    <w:rsid w:val="78CE0BEB"/>
    <w:rsid w:val="7902036B"/>
    <w:rsid w:val="792F49F0"/>
    <w:rsid w:val="793262F5"/>
    <w:rsid w:val="794C278F"/>
    <w:rsid w:val="79597C6D"/>
    <w:rsid w:val="79611BB0"/>
    <w:rsid w:val="79826B60"/>
    <w:rsid w:val="79857B9E"/>
    <w:rsid w:val="7A726576"/>
    <w:rsid w:val="7AD223DF"/>
    <w:rsid w:val="7B616198"/>
    <w:rsid w:val="7B890DF9"/>
    <w:rsid w:val="7BAB6FC2"/>
    <w:rsid w:val="7BC50B5E"/>
    <w:rsid w:val="7C223070"/>
    <w:rsid w:val="7D066407"/>
    <w:rsid w:val="7D10328A"/>
    <w:rsid w:val="7E196074"/>
    <w:rsid w:val="7E4A3BAB"/>
    <w:rsid w:val="7E4B05E8"/>
    <w:rsid w:val="7EF5310D"/>
    <w:rsid w:val="7F2C0419"/>
    <w:rsid w:val="7F686733"/>
    <w:rsid w:val="7FD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adjustRightInd w:val="0"/>
      <w:spacing w:line="520" w:lineRule="exact"/>
      <w:jc w:val="center"/>
      <w:textAlignment w:val="baseline"/>
      <w:outlineLvl w:val="0"/>
    </w:pPr>
    <w:rPr>
      <w:rFonts w:ascii="黑体" w:eastAsia="黑体"/>
      <w:b/>
      <w:kern w:val="0"/>
      <w:sz w:val="2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7"/>
    <w:qFormat/>
    <w:uiPriority w:val="0"/>
    <w:pPr>
      <w:keepNext/>
      <w:adjustRightInd w:val="0"/>
      <w:spacing w:line="360" w:lineRule="auto"/>
      <w:jc w:val="center"/>
      <w:textAlignment w:val="baseline"/>
      <w:outlineLvl w:val="3"/>
    </w:pPr>
    <w:rPr>
      <w:rFonts w:ascii="宋体"/>
      <w:i/>
      <w:spacing w:val="20"/>
      <w:kern w:val="0"/>
      <w:sz w:val="24"/>
      <w:szCs w:val="20"/>
      <w:u w:val="single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  <w:sz w:val="172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oc 7"/>
    <w:basedOn w:val="1"/>
    <w:next w:val="1"/>
    <w:semiHidden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line="360" w:lineRule="auto"/>
      <w:ind w:firstLine="359" w:firstLineChars="171"/>
    </w:pPr>
  </w:style>
  <w:style w:type="paragraph" w:styleId="11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semiHidden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37"/>
    <w:qFormat/>
    <w:uiPriority w:val="0"/>
  </w:style>
  <w:style w:type="paragraph" w:styleId="16">
    <w:name w:val="Body Text Indent 2"/>
    <w:basedOn w:val="1"/>
    <w:link w:val="38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0"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4">
    <w:name w:val="toc 9"/>
    <w:basedOn w:val="1"/>
    <w:next w:val="1"/>
    <w:semiHidden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5">
    <w:name w:val="Body Text 2"/>
    <w:basedOn w:val="1"/>
    <w:qFormat/>
    <w:uiPriority w:val="0"/>
    <w:pPr>
      <w:jc w:val="center"/>
    </w:pPr>
    <w:rPr>
      <w:rFonts w:ascii="宋体"/>
      <w:spacing w:val="20"/>
      <w:sz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27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9"/>
    <w:next w:val="9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semiHidden/>
    <w:qFormat/>
    <w:uiPriority w:val="0"/>
    <w:rPr>
      <w:sz w:val="21"/>
    </w:rPr>
  </w:style>
  <w:style w:type="character" w:customStyle="1" w:styleId="35">
    <w:name w:val="标题 1 字符"/>
    <w:link w:val="3"/>
    <w:qFormat/>
    <w:uiPriority w:val="0"/>
    <w:rPr>
      <w:rFonts w:ascii="黑体" w:eastAsia="黑体"/>
      <w:b/>
      <w:sz w:val="28"/>
    </w:rPr>
  </w:style>
  <w:style w:type="character" w:customStyle="1" w:styleId="36">
    <w:name w:val="标题 3 字符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37">
    <w:name w:val="日期 字符"/>
    <w:link w:val="15"/>
    <w:qFormat/>
    <w:uiPriority w:val="0"/>
    <w:rPr>
      <w:kern w:val="2"/>
      <w:sz w:val="21"/>
      <w:szCs w:val="24"/>
    </w:rPr>
  </w:style>
  <w:style w:type="character" w:customStyle="1" w:styleId="38">
    <w:name w:val="正文文本缩进 2 字符"/>
    <w:basedOn w:val="31"/>
    <w:link w:val="16"/>
    <w:qFormat/>
    <w:uiPriority w:val="0"/>
    <w:rPr>
      <w:kern w:val="2"/>
      <w:sz w:val="21"/>
      <w:szCs w:val="24"/>
    </w:rPr>
  </w:style>
  <w:style w:type="character" w:customStyle="1" w:styleId="39">
    <w:name w:val="页脚 字符"/>
    <w:basedOn w:val="31"/>
    <w:link w:val="18"/>
    <w:qFormat/>
    <w:uiPriority w:val="99"/>
    <w:rPr>
      <w:kern w:val="2"/>
      <w:sz w:val="18"/>
      <w:szCs w:val="18"/>
    </w:rPr>
  </w:style>
  <w:style w:type="character" w:customStyle="1" w:styleId="40">
    <w:name w:val="页眉 字符"/>
    <w:basedOn w:val="31"/>
    <w:link w:val="19"/>
    <w:qFormat/>
    <w:uiPriority w:val="99"/>
    <w:rPr>
      <w:kern w:val="2"/>
      <w:sz w:val="18"/>
      <w:szCs w:val="18"/>
    </w:rPr>
  </w:style>
  <w:style w:type="character" w:customStyle="1" w:styleId="41">
    <w:name w:val="标题 字符"/>
    <w:link w:val="2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段 Char"/>
    <w:link w:val="43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4">
    <w:name w:val="times new rome Char"/>
    <w:link w:val="45"/>
    <w:qFormat/>
    <w:uiPriority w:val="0"/>
    <w:rPr>
      <w:bCs/>
      <w:kern w:val="2"/>
      <w:sz w:val="24"/>
      <w:szCs w:val="24"/>
    </w:rPr>
  </w:style>
  <w:style w:type="paragraph" w:customStyle="1" w:styleId="45">
    <w:name w:val="times new rome"/>
    <w:basedOn w:val="1"/>
    <w:link w:val="44"/>
    <w:qFormat/>
    <w:uiPriority w:val="0"/>
    <w:rPr>
      <w:bCs/>
      <w:sz w:val="24"/>
    </w:rPr>
  </w:style>
  <w:style w:type="character" w:customStyle="1" w:styleId="46">
    <w:name w:val="宋体+小四 Char"/>
    <w:link w:val="47"/>
    <w:qFormat/>
    <w:uiPriority w:val="0"/>
    <w:rPr>
      <w:rFonts w:ascii="宋体" w:hAnsi="宋体"/>
      <w:kern w:val="2"/>
      <w:sz w:val="24"/>
      <w:szCs w:val="24"/>
    </w:rPr>
  </w:style>
  <w:style w:type="paragraph" w:customStyle="1" w:styleId="47">
    <w:name w:val="宋体+小四"/>
    <w:basedOn w:val="1"/>
    <w:link w:val="46"/>
    <w:qFormat/>
    <w:uiPriority w:val="0"/>
    <w:pPr>
      <w:ind w:firstLine="480" w:firstLineChars="200"/>
    </w:pPr>
    <w:rPr>
      <w:rFonts w:ascii="宋体" w:hAnsi="宋体"/>
      <w:sz w:val="24"/>
    </w:rPr>
  </w:style>
  <w:style w:type="character" w:customStyle="1" w:styleId="48">
    <w:name w:val="图片标题 Char"/>
    <w:link w:val="49"/>
    <w:qFormat/>
    <w:uiPriority w:val="0"/>
    <w:rPr>
      <w:rFonts w:ascii="Calibri" w:hAnsi="Calibri"/>
      <w:kern w:val="2"/>
      <w:sz w:val="21"/>
      <w:szCs w:val="21"/>
    </w:rPr>
  </w:style>
  <w:style w:type="paragraph" w:customStyle="1" w:styleId="49">
    <w:name w:val="图片标题"/>
    <w:basedOn w:val="1"/>
    <w:link w:val="48"/>
    <w:qFormat/>
    <w:uiPriority w:val="0"/>
    <w:pPr>
      <w:ind w:firstLine="420" w:firstLineChars="200"/>
      <w:jc w:val="center"/>
    </w:pPr>
    <w:rPr>
      <w:rFonts w:ascii="Calibri" w:hAnsi="Calibri"/>
      <w:szCs w:val="21"/>
    </w:rPr>
  </w:style>
  <w:style w:type="character" w:customStyle="1" w:styleId="50">
    <w:name w:val="2级标题 Char"/>
    <w:link w:val="51"/>
    <w:qFormat/>
    <w:uiPriority w:val="0"/>
    <w:rPr>
      <w:rFonts w:ascii="Calibri" w:hAnsi="Calibri" w:eastAsia="宋体"/>
      <w:b/>
      <w:kern w:val="2"/>
      <w:sz w:val="24"/>
      <w:szCs w:val="24"/>
      <w:lang w:val="en-US" w:eastAsia="zh-CN" w:bidi="ar-SA"/>
    </w:rPr>
  </w:style>
  <w:style w:type="paragraph" w:customStyle="1" w:styleId="51">
    <w:name w:val="2级标题"/>
    <w:basedOn w:val="52"/>
    <w:link w:val="50"/>
    <w:qFormat/>
    <w:uiPriority w:val="0"/>
    <w:pPr>
      <w:ind w:left="420" w:firstLine="0" w:firstLineChars="0"/>
    </w:pPr>
    <w:rPr>
      <w:rFonts w:ascii="Calibri" w:hAnsi="Calibri"/>
      <w:b/>
      <w:sz w:val="24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character" w:customStyle="1" w:styleId="53">
    <w:name w:val="action-span13"/>
    <w:basedOn w:val="31"/>
    <w:qFormat/>
    <w:uiPriority w:val="0"/>
  </w:style>
  <w:style w:type="character" w:customStyle="1" w:styleId="54">
    <w:name w:val="1级标题 Char"/>
    <w:link w:val="55"/>
    <w:qFormat/>
    <w:uiPriority w:val="0"/>
    <w:rPr>
      <w:rFonts w:ascii="Calibri" w:hAnsi="Calibri" w:eastAsia="宋体"/>
      <w:b/>
      <w:kern w:val="2"/>
      <w:sz w:val="28"/>
      <w:szCs w:val="28"/>
      <w:lang w:val="en-US" w:eastAsia="zh-CN" w:bidi="ar-SA"/>
    </w:rPr>
  </w:style>
  <w:style w:type="paragraph" w:customStyle="1" w:styleId="55">
    <w:name w:val="1级标题"/>
    <w:basedOn w:val="52"/>
    <w:link w:val="54"/>
    <w:qFormat/>
    <w:uiPriority w:val="0"/>
    <w:pPr>
      <w:ind w:firstLine="0" w:firstLineChars="0"/>
      <w:jc w:val="left"/>
    </w:pPr>
    <w:rPr>
      <w:rFonts w:ascii="Calibri" w:hAnsi="Calibri"/>
      <w:b/>
      <w:sz w:val="28"/>
      <w:szCs w:val="28"/>
    </w:rPr>
  </w:style>
  <w:style w:type="paragraph" w:customStyle="1" w:styleId="56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Char Char11"/>
    <w:basedOn w:val="1"/>
    <w:link w:val="64"/>
    <w:qFormat/>
    <w:uiPriority w:val="0"/>
    <w:rPr>
      <w:rFonts w:ascii="Tahoma" w:hAnsi="Tahoma"/>
      <w:sz w:val="24"/>
      <w:szCs w:val="20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9">
    <w:name w:val="标准文件_段"/>
    <w:qFormat/>
    <w:uiPriority w:val="0"/>
    <w:pPr>
      <w:autoSpaceDE w:val="0"/>
      <w:autoSpaceDN w:val="0"/>
      <w:adjustRightInd w:val="0"/>
      <w:snapToGrid w:val="0"/>
      <w:spacing w:line="276" w:lineRule="auto"/>
      <w:ind w:left="-126" w:leftChars="-60" w:right="-105" w:rightChars="-50" w:firstLine="419" w:firstLineChars="196"/>
      <w:jc w:val="both"/>
    </w:pPr>
    <w:rPr>
      <w:rFonts w:ascii="Times New Roman" w:hAnsi="Times New Roman" w:eastAsia="宋体" w:cs="Times New Roman"/>
      <w:spacing w:val="2"/>
      <w:sz w:val="21"/>
      <w:lang w:val="en-US" w:eastAsia="zh-CN" w:bidi="ar-SA"/>
    </w:rPr>
  </w:style>
  <w:style w:type="paragraph" w:customStyle="1" w:styleId="60">
    <w:name w:val="No Title"/>
    <w:basedOn w:val="1"/>
    <w:qFormat/>
    <w:uiPriority w:val="0"/>
    <w:pPr>
      <w:widowControl/>
      <w:spacing w:before="220" w:line="220" w:lineRule="atLeast"/>
      <w:jc w:val="left"/>
    </w:pPr>
    <w:rPr>
      <w:rFonts w:ascii="Garamond" w:hAnsi="Garamond"/>
      <w:caps/>
      <w:spacing w:val="15"/>
      <w:kern w:val="0"/>
      <w:sz w:val="20"/>
      <w:szCs w:val="20"/>
    </w:rPr>
  </w:style>
  <w:style w:type="paragraph" w:customStyle="1" w:styleId="6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4">
    <w:name w:val="Char Char1 Char"/>
    <w:link w:val="57"/>
    <w:qFormat/>
    <w:uiPriority w:val="0"/>
    <w:rPr>
      <w:rFonts w:ascii="Tahoma" w:hAnsi="Tahoma"/>
      <w:sz w:val="24"/>
      <w:szCs w:val="20"/>
    </w:rPr>
  </w:style>
  <w:style w:type="character" w:styleId="65">
    <w:name w:val="Placeholder Text"/>
    <w:basedOn w:val="3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0D43B-F235-4A35-8DBE-0A16807DE9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scm</Company>
  <Pages>14</Pages>
  <Words>3167</Words>
  <Characters>3803</Characters>
  <Lines>41</Lines>
  <Paragraphs>11</Paragraphs>
  <TotalTime>4</TotalTime>
  <ScaleCrop>false</ScaleCrop>
  <LinksUpToDate>false</LinksUpToDate>
  <CharactersWithSpaces>4415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2014-10-29T04:59:00Z</dcterms:created>
  <dc:creator>hgl</dc:creator>
  <cp:lastModifiedBy>WPS_1661848194</cp:lastModifiedBy>
  <cp:lastPrinted>2023-06-16T00:59:00Z</cp:lastPrinted>
  <dcterms:modified xsi:type="dcterms:W3CDTF">2023-06-16T05:38:40Z</dcterms:modified>
  <dc:title>D型邵氏硬度计检定规程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2052-11.1.0.14309</vt:lpwstr>
  </property>
  <property fmtid="{D5CDD505-2E9C-101B-9397-08002B2CF9AE}" pid="4" name="ICV">
    <vt:lpwstr>E3095140622F4A28AA528B667F0A19F4_13</vt:lpwstr>
  </property>
  <property fmtid="{D5CDD505-2E9C-101B-9397-08002B2CF9AE}" pid="5" name="commondata">
    <vt:lpwstr>eyJoZGlkIjoiNzUyNDMxMTY2NTMyNzhjMzRjN2QzNTMwMzYzMmRmODkifQ==</vt:lpwstr>
  </property>
</Properties>
</file>