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5"/>
        <w:pageBreakBefore w:val="0"/>
        <w:kinsoku/>
        <w:wordWrap/>
        <w:overflowPunct/>
        <w:topLinePunct w:val="0"/>
        <w:bidi w:val="0"/>
        <w:spacing w:after="0" w:line="240" w:lineRule="auto"/>
        <w:ind w:left="0" w:leftChars="0"/>
        <w:jc w:val="distribute"/>
        <w:textAlignment w:val="center"/>
        <w:rPr>
          <w:rFonts w:hint="eastAsia" w:ascii="黑体" w:hAnsi="黑体" w:eastAsia="黑体" w:cs="黑体"/>
          <w:caps w:val="0"/>
          <w:color w:val="auto"/>
          <w:spacing w:val="0"/>
          <w:position w:val="0"/>
          <w:sz w:val="2"/>
          <w:szCs w:val="2"/>
        </w:rPr>
      </w:pPr>
      <w:r>
        <w:rPr>
          <w:rFonts w:ascii="黑体" w:hAnsi="黑体" w:eastAsia="黑体" w:cs="黑体"/>
          <w:sz w:val="32"/>
        </w:rPr>
        <w:pict>
          <v:shape id="_x0000_s1026" o:spid="_x0000_s1026" o:spt="75" type="#_x0000_t75" style="position:absolute;left:0pt;margin-left:286.75pt;margin-top:-48.5pt;height:53.75pt;width:131.25pt;z-index:251664384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17" grayscale="t" embosscolor="#FFFFFF" o:title=""/>
            <o:lock v:ext="edit" aspectratio="t"/>
          </v:shape>
          <o:OLEObject Type="Embed" ProgID="" ShapeID="_x0000_s1026" DrawAspect="Content" ObjectID="_1468075725" r:id="rId16">
            <o:LockedField>false</o:LockedField>
          </o:OLEObject>
        </w:pict>
      </w:r>
    </w:p>
    <w:p>
      <w:pPr>
        <w:pStyle w:val="15"/>
        <w:pageBreakBefore w:val="0"/>
        <w:kinsoku/>
        <w:wordWrap/>
        <w:overflowPunct/>
        <w:topLinePunct w:val="0"/>
        <w:bidi w:val="0"/>
        <w:spacing w:after="0" w:line="240" w:lineRule="auto"/>
        <w:ind w:left="0" w:leftChars="0"/>
        <w:jc w:val="distribute"/>
        <w:textAlignment w:val="center"/>
        <w:rPr>
          <w:rFonts w:hint="eastAsia" w:ascii="黑体" w:hAnsi="黑体" w:eastAsia="黑体" w:cs="黑体"/>
          <w:caps w:val="0"/>
          <w:color w:val="auto"/>
          <w:spacing w:val="0"/>
          <w:position w:val="0"/>
          <w:sz w:val="2"/>
          <w:szCs w:val="2"/>
        </w:rPr>
      </w:pP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80" w:lineRule="exact"/>
        <w:ind w:left="0" w:leftChars="0" w:right="-80" w:rightChars="-38"/>
        <w:jc w:val="distribute"/>
        <w:textAlignment w:val="center"/>
        <w:rPr>
          <w:rFonts w:hint="default" w:ascii="Times New Roman" w:hAnsi="Times New Roman" w:cs="Times New Roman"/>
          <w:b/>
          <w:caps w:val="0"/>
          <w:color w:val="auto"/>
          <w:spacing w:val="0"/>
          <w:position w:val="0"/>
          <w:sz w:val="13"/>
          <w:szCs w:val="10"/>
        </w:rPr>
      </w:pPr>
      <w:r>
        <w:rPr>
          <w:rFonts w:hint="eastAsia" w:ascii="方正小标宋简体" w:eastAsia="方正小标宋简体" w:cs="Times New Roman"/>
          <w:b w:val="0"/>
          <w:bCs w:val="0"/>
          <w:color w:val="auto"/>
          <w:w w:val="120"/>
          <w:sz w:val="52"/>
          <w:szCs w:val="52"/>
        </w:rPr>
        <w:t>黑龙江省地方计量技术规范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5600" w:firstLineChars="2000"/>
        <w:textAlignment w:val="center"/>
        <w:rPr>
          <w:rFonts w:hint="eastAsia" w:ascii="黑体" w:hAnsi="黑体" w:eastAsia="黑体" w:cs="黑体"/>
          <w:b/>
          <w:bCs/>
          <w:caps w:val="0"/>
          <w:color w:val="auto"/>
          <w:spacing w:val="0"/>
          <w:position w:val="0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caps w:val="0"/>
          <w:color w:val="auto"/>
          <w:spacing w:val="0"/>
          <w:position w:val="0"/>
          <w:sz w:val="28"/>
          <w:szCs w:val="28"/>
        </w:rPr>
        <w:t>JJF（黑）</w:t>
      </w:r>
      <w:r>
        <w:rPr>
          <w:rFonts w:hint="eastAsia" w:ascii="黑体" w:hAnsi="黑体" w:eastAsia="黑体" w:cs="黑体"/>
          <w:caps w:val="0"/>
          <w:color w:val="auto"/>
          <w:spacing w:val="0"/>
          <w:position w:val="0"/>
          <w:sz w:val="28"/>
          <w:szCs w:val="28"/>
          <w:lang w:val="en-US" w:eastAsia="zh-CN"/>
        </w:rPr>
        <w:t>XXX</w:t>
      </w:r>
      <w:r>
        <w:rPr>
          <w:rFonts w:hint="eastAsia" w:ascii="黑体" w:hAnsi="黑体" w:eastAsia="黑体" w:cs="黑体"/>
          <w:caps w:val="0"/>
          <w:color w:val="auto"/>
          <w:spacing w:val="0"/>
          <w:position w:val="0"/>
          <w:sz w:val="28"/>
          <w:szCs w:val="28"/>
        </w:rPr>
        <w:t>—202</w:t>
      </w:r>
      <w:r>
        <w:rPr>
          <w:rFonts w:hint="eastAsia" w:ascii="黑体" w:hAnsi="黑体" w:eastAsia="黑体" w:cs="黑体"/>
          <w:caps w:val="0"/>
          <w:color w:val="auto"/>
          <w:spacing w:val="0"/>
          <w:position w:val="0"/>
          <w:sz w:val="28"/>
          <w:szCs w:val="28"/>
          <w:lang w:val="en-US" w:eastAsia="zh-CN"/>
        </w:rPr>
        <w:t>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textAlignment w:val="center"/>
        <w:rPr>
          <w:rFonts w:hint="default" w:ascii="Times New Roman" w:hAnsi="Times New Roman" w:cs="Times New Roman"/>
          <w:b/>
          <w:caps w:val="0"/>
          <w:color w:val="auto"/>
          <w:spacing w:val="0"/>
          <w:position w:val="0"/>
          <w:sz w:val="44"/>
        </w:rPr>
      </w:pPr>
      <w:r>
        <w:rPr>
          <w:rFonts w:hint="default" w:ascii="Times New Roman" w:hAnsi="Times New Roman" w:cs="Times New Roman"/>
          <w:b/>
          <w:caps w:val="0"/>
          <w:color w:val="auto"/>
          <w:spacing w:val="0"/>
          <w:position w:val="0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289560</wp:posOffset>
                </wp:positionV>
                <wp:extent cx="5939790" cy="1905"/>
                <wp:effectExtent l="0" t="0" r="0" b="0"/>
                <wp:wrapNone/>
                <wp:docPr id="1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939790" cy="1905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flip:y;margin-left:-9.5pt;margin-top:22.8pt;height:0.15pt;width:467.7pt;z-index:251666432;mso-width-relative:page;mso-height-relative:page;" filled="f" stroked="t" coordsize="21600,21600" o:gfxdata="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B8lFGnZAAAACQEAAA8AAAAAAAAAAQAgAAAAOAAAAGRycy9kb3ducmV2LnhtbFBLAQIU&#10;ABQAAAAIAIdO4kAWQcww3AEAAKIDAAAOAAAAAAAAAAEAIAAAAD4BAABkcnMvZTJvRG9jLnhtbFBL&#10;BQYAAAAABgAGAFkBAACMBQAAAAA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39"/>
        <w:keepNext w:val="0"/>
        <w:keepLines w:val="0"/>
        <w:pageBreakBefore w:val="0"/>
        <w:framePr w:w="0" w:hRule="auto" w:wrap="auto" w:vAnchor="margin" w:hAnchor="text" w:xAlign="lef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center"/>
        <w:rPr>
          <w:rFonts w:hint="default" w:ascii="Times New Roman" w:hAnsi="Times New Roman" w:cs="Times New Roman"/>
          <w:caps w:val="0"/>
          <w:color w:val="auto"/>
          <w:spacing w:val="0"/>
          <w:position w:val="0"/>
          <w:szCs w:val="52"/>
        </w:rPr>
      </w:pPr>
    </w:p>
    <w:p>
      <w:pPr>
        <w:pStyle w:val="39"/>
        <w:keepNext w:val="0"/>
        <w:keepLines w:val="0"/>
        <w:pageBreakBefore w:val="0"/>
        <w:framePr w:w="0" w:hRule="auto" w:wrap="auto" w:vAnchor="margin" w:hAnchor="text" w:xAlign="lef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center"/>
        <w:rPr>
          <w:rFonts w:hint="default" w:ascii="Times New Roman" w:hAnsi="Times New Roman" w:cs="Times New Roman"/>
          <w:caps w:val="0"/>
          <w:color w:val="auto"/>
          <w:spacing w:val="0"/>
          <w:position w:val="0"/>
          <w:szCs w:val="52"/>
        </w:rPr>
      </w:pPr>
    </w:p>
    <w:p>
      <w:pPr>
        <w:pStyle w:val="39"/>
        <w:keepNext w:val="0"/>
        <w:keepLines w:val="0"/>
        <w:pageBreakBefore w:val="0"/>
        <w:framePr w:w="0" w:hRule="auto" w:wrap="auto" w:vAnchor="margin" w:hAnchor="text" w:xAlign="lef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center"/>
        <w:rPr>
          <w:rFonts w:hint="default" w:ascii="Times New Roman" w:hAnsi="Times New Roman" w:cs="Times New Roman"/>
          <w:caps w:val="0"/>
          <w:color w:val="auto"/>
          <w:spacing w:val="0"/>
          <w:position w:val="0"/>
          <w:szCs w:val="52"/>
        </w:rPr>
      </w:pPr>
    </w:p>
    <w:p>
      <w:pPr>
        <w:pStyle w:val="39"/>
        <w:keepNext w:val="0"/>
        <w:keepLines w:val="0"/>
        <w:pageBreakBefore w:val="0"/>
        <w:framePr w:w="0" w:hRule="auto" w:wrap="auto" w:vAnchor="margin" w:hAnchor="text" w:xAlign="lef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center"/>
        <w:rPr>
          <w:rFonts w:hint="default" w:ascii="Times New Roman" w:hAnsi="Times New Roman" w:eastAsia="黑体" w:cs="Times New Roman"/>
          <w:caps w:val="0"/>
          <w:color w:val="auto"/>
          <w:spacing w:val="0"/>
          <w:position w:val="0"/>
          <w:sz w:val="52"/>
          <w:szCs w:val="52"/>
        </w:rPr>
      </w:pPr>
    </w:p>
    <w:p>
      <w:pPr>
        <w:pStyle w:val="39"/>
        <w:framePr w:w="0" w:hRule="auto" w:wrap="auto" w:vAnchor="margin" w:hAnchor="text" w:xAlign="left" w:yAlign="inline"/>
        <w:rPr>
          <w:rFonts w:ascii="Times New Roman"/>
          <w:szCs w:val="52"/>
        </w:rPr>
      </w:pPr>
      <w:r>
        <w:rPr>
          <w:rFonts w:hint="eastAsia" w:ascii="Times New Roman"/>
          <w:szCs w:val="52"/>
        </w:rPr>
        <w:t>微量进样器</w:t>
      </w:r>
      <w:r>
        <w:rPr>
          <w:rFonts w:ascii="Times New Roman"/>
          <w:szCs w:val="52"/>
        </w:rPr>
        <w:t>校准规范</w:t>
      </w:r>
    </w:p>
    <w:p>
      <w:pPr>
        <w:pStyle w:val="39"/>
        <w:framePr w:w="0" w:hRule="auto" w:wrap="auto" w:vAnchor="margin" w:hAnchor="text" w:xAlign="left" w:yAlign="inline"/>
        <w:spacing w:line="280" w:lineRule="exact"/>
        <w:rPr>
          <w:rFonts w:ascii="Times New Roman"/>
          <w:szCs w:val="52"/>
        </w:rPr>
      </w:pPr>
    </w:p>
    <w:p>
      <w:pPr>
        <w:jc w:val="center"/>
        <w:textAlignment w:val="center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Calibration Specification for Micro Sampling Syringe</w:t>
      </w:r>
    </w:p>
    <w:p>
      <w:pPr>
        <w:jc w:val="center"/>
        <w:textAlignment w:val="center"/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/>
          <w:bCs/>
          <w:szCs w:val="21"/>
        </w:rPr>
        <w:t xml:space="preserve">                                    </w:t>
      </w:r>
      <w:r>
        <w:rPr>
          <w:rFonts w:hint="eastAsia" w:ascii="黑体" w:hAnsi="黑体" w:eastAsia="黑体" w:cs="黑体"/>
          <w:b w:val="0"/>
          <w:bCs/>
          <w:caps w:val="0"/>
          <w:color w:val="auto"/>
          <w:spacing w:val="0"/>
          <w:position w:val="0"/>
          <w:sz w:val="28"/>
          <w:szCs w:val="28"/>
          <w:lang w:val="en-US" w:eastAsia="zh-CN"/>
        </w:rPr>
        <w:t>（审定稿）</w:t>
      </w:r>
    </w:p>
    <w:p>
      <w:pPr>
        <w:pStyle w:val="15"/>
        <w:pageBreakBefore w:val="0"/>
        <w:kinsoku/>
        <w:wordWrap/>
        <w:overflowPunct/>
        <w:topLinePunct w:val="0"/>
        <w:bidi w:val="0"/>
        <w:spacing w:line="0" w:lineRule="atLeast"/>
        <w:ind w:left="0" w:leftChars="0"/>
        <w:textAlignment w:val="center"/>
        <w:rPr>
          <w:rFonts w:hint="default" w:ascii="Times New Roman" w:hAnsi="Times New Roman" w:cs="Times New Roman"/>
          <w:bCs/>
          <w:caps w:val="0"/>
          <w:color w:val="auto"/>
          <w:spacing w:val="0"/>
          <w:position w:val="0"/>
          <w:szCs w:val="21"/>
        </w:rPr>
      </w:pPr>
    </w:p>
    <w:p>
      <w:pPr>
        <w:pStyle w:val="15"/>
        <w:pageBreakBefore w:val="0"/>
        <w:kinsoku/>
        <w:wordWrap/>
        <w:overflowPunct/>
        <w:topLinePunct w:val="0"/>
        <w:bidi w:val="0"/>
        <w:spacing w:line="0" w:lineRule="atLeast"/>
        <w:ind w:left="0" w:leftChars="0"/>
        <w:textAlignment w:val="center"/>
        <w:rPr>
          <w:rFonts w:hint="default" w:ascii="Times New Roman" w:hAnsi="Times New Roman" w:cs="Times New Roman"/>
          <w:bCs/>
          <w:caps w:val="0"/>
          <w:color w:val="auto"/>
          <w:spacing w:val="0"/>
          <w:position w:val="0"/>
          <w:szCs w:val="21"/>
        </w:rPr>
      </w:pPr>
    </w:p>
    <w:p>
      <w:pPr>
        <w:pStyle w:val="15"/>
        <w:pageBreakBefore w:val="0"/>
        <w:kinsoku/>
        <w:wordWrap/>
        <w:overflowPunct/>
        <w:topLinePunct w:val="0"/>
        <w:bidi w:val="0"/>
        <w:spacing w:line="0" w:lineRule="atLeast"/>
        <w:ind w:left="0" w:leftChars="0"/>
        <w:textAlignment w:val="center"/>
        <w:rPr>
          <w:rFonts w:hint="default" w:ascii="Times New Roman" w:hAnsi="Times New Roman" w:cs="Times New Roman"/>
          <w:bCs/>
          <w:caps w:val="0"/>
          <w:color w:val="auto"/>
          <w:spacing w:val="0"/>
          <w:position w:val="0"/>
          <w:szCs w:val="21"/>
        </w:rPr>
      </w:pPr>
    </w:p>
    <w:p>
      <w:pPr>
        <w:pStyle w:val="15"/>
        <w:pageBreakBefore w:val="0"/>
        <w:kinsoku/>
        <w:wordWrap/>
        <w:overflowPunct/>
        <w:topLinePunct w:val="0"/>
        <w:bidi w:val="0"/>
        <w:spacing w:line="0" w:lineRule="atLeast"/>
        <w:ind w:left="0" w:leftChars="0"/>
        <w:textAlignment w:val="center"/>
        <w:rPr>
          <w:rFonts w:hint="default" w:ascii="Times New Roman" w:hAnsi="Times New Roman" w:cs="Times New Roman"/>
          <w:bCs/>
          <w:caps w:val="0"/>
          <w:color w:val="auto"/>
          <w:spacing w:val="0"/>
          <w:position w:val="0"/>
          <w:szCs w:val="21"/>
        </w:rPr>
      </w:pPr>
    </w:p>
    <w:p>
      <w:pPr>
        <w:pStyle w:val="15"/>
        <w:pageBreakBefore w:val="0"/>
        <w:kinsoku/>
        <w:wordWrap/>
        <w:overflowPunct/>
        <w:topLinePunct w:val="0"/>
        <w:bidi w:val="0"/>
        <w:spacing w:line="0" w:lineRule="atLeast"/>
        <w:ind w:left="0" w:leftChars="0"/>
        <w:textAlignment w:val="center"/>
        <w:rPr>
          <w:rFonts w:hint="default" w:ascii="Times New Roman" w:hAnsi="Times New Roman" w:cs="Times New Roman"/>
          <w:bCs/>
          <w:caps w:val="0"/>
          <w:color w:val="auto"/>
          <w:spacing w:val="0"/>
          <w:position w:val="0"/>
          <w:szCs w:val="21"/>
        </w:rPr>
      </w:pPr>
    </w:p>
    <w:p>
      <w:pPr>
        <w:pStyle w:val="15"/>
        <w:pageBreakBefore w:val="0"/>
        <w:kinsoku/>
        <w:wordWrap/>
        <w:overflowPunct/>
        <w:topLinePunct w:val="0"/>
        <w:bidi w:val="0"/>
        <w:spacing w:line="0" w:lineRule="atLeast"/>
        <w:ind w:left="0" w:leftChars="0"/>
        <w:textAlignment w:val="center"/>
        <w:rPr>
          <w:rFonts w:hint="default" w:ascii="Times New Roman" w:hAnsi="Times New Roman" w:cs="Times New Roman"/>
          <w:bCs/>
          <w:caps w:val="0"/>
          <w:color w:val="auto"/>
          <w:spacing w:val="0"/>
          <w:position w:val="0"/>
          <w:szCs w:val="21"/>
        </w:rPr>
      </w:pPr>
    </w:p>
    <w:p>
      <w:pPr>
        <w:pStyle w:val="15"/>
        <w:pageBreakBefore w:val="0"/>
        <w:kinsoku/>
        <w:wordWrap/>
        <w:overflowPunct/>
        <w:topLinePunct w:val="0"/>
        <w:bidi w:val="0"/>
        <w:spacing w:line="0" w:lineRule="atLeast"/>
        <w:ind w:left="0" w:leftChars="0"/>
        <w:textAlignment w:val="center"/>
        <w:rPr>
          <w:rFonts w:hint="default" w:ascii="Times New Roman" w:hAnsi="Times New Roman" w:cs="Times New Roman"/>
          <w:bCs/>
          <w:caps w:val="0"/>
          <w:color w:val="auto"/>
          <w:spacing w:val="0"/>
          <w:position w:val="0"/>
          <w:szCs w:val="21"/>
        </w:rPr>
      </w:pPr>
    </w:p>
    <w:p>
      <w:pPr>
        <w:pStyle w:val="15"/>
        <w:pageBreakBefore w:val="0"/>
        <w:kinsoku/>
        <w:wordWrap/>
        <w:overflowPunct/>
        <w:topLinePunct w:val="0"/>
        <w:bidi w:val="0"/>
        <w:spacing w:line="0" w:lineRule="atLeast"/>
        <w:ind w:left="0" w:leftChars="0"/>
        <w:textAlignment w:val="center"/>
        <w:rPr>
          <w:rFonts w:hint="default" w:ascii="Times New Roman" w:hAnsi="Times New Roman" w:cs="Times New Roman"/>
          <w:bCs/>
          <w:caps w:val="0"/>
          <w:color w:val="auto"/>
          <w:spacing w:val="0"/>
          <w:position w:val="0"/>
          <w:szCs w:val="21"/>
        </w:rPr>
      </w:pPr>
    </w:p>
    <w:p>
      <w:pPr>
        <w:pStyle w:val="15"/>
        <w:pageBreakBefore w:val="0"/>
        <w:kinsoku/>
        <w:wordWrap/>
        <w:overflowPunct/>
        <w:topLinePunct w:val="0"/>
        <w:bidi w:val="0"/>
        <w:spacing w:line="0" w:lineRule="atLeast"/>
        <w:ind w:left="0" w:leftChars="0"/>
        <w:textAlignment w:val="center"/>
        <w:rPr>
          <w:rFonts w:hint="default" w:ascii="Times New Roman" w:hAnsi="Times New Roman" w:cs="Times New Roman"/>
          <w:bCs/>
          <w:caps w:val="0"/>
          <w:color w:val="auto"/>
          <w:spacing w:val="0"/>
          <w:position w:val="0"/>
          <w:szCs w:val="21"/>
        </w:rPr>
      </w:pPr>
    </w:p>
    <w:p>
      <w:pPr>
        <w:pStyle w:val="15"/>
        <w:pageBreakBefore w:val="0"/>
        <w:kinsoku/>
        <w:wordWrap/>
        <w:overflowPunct/>
        <w:topLinePunct w:val="0"/>
        <w:bidi w:val="0"/>
        <w:spacing w:line="0" w:lineRule="atLeast"/>
        <w:ind w:left="0" w:leftChars="0"/>
        <w:textAlignment w:val="center"/>
        <w:rPr>
          <w:rFonts w:hint="default" w:ascii="Times New Roman" w:hAnsi="Times New Roman" w:cs="Times New Roman"/>
          <w:bCs/>
          <w:caps w:val="0"/>
          <w:color w:val="auto"/>
          <w:spacing w:val="0"/>
          <w:position w:val="0"/>
          <w:szCs w:val="21"/>
        </w:rPr>
      </w:pPr>
    </w:p>
    <w:p>
      <w:pPr>
        <w:pStyle w:val="15"/>
        <w:pageBreakBefore w:val="0"/>
        <w:kinsoku/>
        <w:wordWrap/>
        <w:overflowPunct/>
        <w:topLinePunct w:val="0"/>
        <w:bidi w:val="0"/>
        <w:spacing w:line="0" w:lineRule="atLeast"/>
        <w:ind w:left="0" w:leftChars="0"/>
        <w:textAlignment w:val="center"/>
        <w:rPr>
          <w:rFonts w:hint="default" w:ascii="Times New Roman" w:hAnsi="Times New Roman" w:cs="Times New Roman"/>
          <w:bCs/>
          <w:caps w:val="0"/>
          <w:color w:val="auto"/>
          <w:spacing w:val="0"/>
          <w:position w:val="0"/>
          <w:szCs w:val="21"/>
        </w:rPr>
      </w:pPr>
    </w:p>
    <w:p>
      <w:pPr>
        <w:pStyle w:val="15"/>
        <w:pageBreakBefore w:val="0"/>
        <w:kinsoku/>
        <w:wordWrap/>
        <w:overflowPunct/>
        <w:topLinePunct w:val="0"/>
        <w:bidi w:val="0"/>
        <w:spacing w:line="0" w:lineRule="atLeast"/>
        <w:ind w:left="0" w:leftChars="0"/>
        <w:textAlignment w:val="center"/>
        <w:rPr>
          <w:rFonts w:hint="default" w:ascii="Times New Roman" w:hAnsi="Times New Roman" w:cs="Times New Roman"/>
          <w:bCs/>
          <w:caps w:val="0"/>
          <w:color w:val="auto"/>
          <w:spacing w:val="0"/>
          <w:position w:val="0"/>
          <w:szCs w:val="21"/>
        </w:rPr>
      </w:pPr>
    </w:p>
    <w:p>
      <w:pPr>
        <w:pStyle w:val="15"/>
        <w:pageBreakBefore w:val="0"/>
        <w:kinsoku/>
        <w:wordWrap/>
        <w:overflowPunct/>
        <w:topLinePunct w:val="0"/>
        <w:bidi w:val="0"/>
        <w:spacing w:line="0" w:lineRule="atLeast"/>
        <w:ind w:left="0" w:leftChars="0"/>
        <w:textAlignment w:val="center"/>
        <w:rPr>
          <w:rFonts w:hint="default" w:ascii="Times New Roman" w:hAnsi="Times New Roman" w:cs="Times New Roman"/>
          <w:bCs/>
          <w:caps w:val="0"/>
          <w:color w:val="auto"/>
          <w:spacing w:val="0"/>
          <w:position w:val="0"/>
          <w:szCs w:val="21"/>
        </w:rPr>
      </w:pPr>
    </w:p>
    <w:p>
      <w:pPr>
        <w:pStyle w:val="15"/>
        <w:pageBreakBefore w:val="0"/>
        <w:kinsoku/>
        <w:wordWrap/>
        <w:overflowPunct/>
        <w:topLinePunct w:val="0"/>
        <w:bidi w:val="0"/>
        <w:ind w:left="0" w:leftChars="0" w:firstLine="280" w:firstLineChars="100"/>
        <w:jc w:val="both"/>
        <w:textAlignment w:val="center"/>
        <w:rPr>
          <w:rFonts w:hint="default" w:ascii="Times New Roman" w:hAnsi="Times New Roman" w:eastAsia="黑体" w:cs="Times New Roman"/>
          <w:bCs/>
          <w:caps w:val="0"/>
          <w:color w:val="auto"/>
          <w:spacing w:val="0"/>
          <w:position w:val="0"/>
          <w:sz w:val="28"/>
        </w:rPr>
      </w:pPr>
      <w:r>
        <w:rPr>
          <w:rFonts w:hint="eastAsia" w:ascii="黑体" w:hAnsi="黑体" w:eastAsia="黑体" w:cs="黑体"/>
          <w:bCs/>
          <w:caps w:val="0"/>
          <w:color w:val="auto"/>
          <w:spacing w:val="0"/>
          <w:position w:val="0"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-162560</wp:posOffset>
                </wp:positionH>
                <wp:positionV relativeFrom="paragraph">
                  <wp:posOffset>431800</wp:posOffset>
                </wp:positionV>
                <wp:extent cx="5939790" cy="0"/>
                <wp:effectExtent l="0" t="4445" r="0" b="5080"/>
                <wp:wrapNone/>
                <wp:docPr id="15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margin-left:-12.8pt;margin-top:34pt;height:0pt;width:467.7pt;z-index:251667456;mso-width-relative:page;mso-height-relative:page;" filled="f" stroked="t" coordsize="21600,21600" o:gfxdata="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BYAAABkcnMvUEsBAhQAFAAAAAgAh07iQBst7CTWAAAA&#10;CQEAAA8AAAAAAAAAAQAgAAAAOAAAAGRycy9kb3ducmV2LnhtbFBLAQIUABQAAAAIAIdO4kAuJxDC&#10;0AEAAJEDAAAOAAAAAAAAAAEAIAAAADsBAABkcnMvZTJvRG9jLnhtbFBLBQYAAAAABgAGAFkBAAB9&#10;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黑体" w:hAnsi="黑体" w:eastAsia="黑体" w:cs="黑体"/>
          <w:bCs/>
          <w:caps w:val="0"/>
          <w:color w:val="auto"/>
          <w:spacing w:val="0"/>
          <w:position w:val="0"/>
          <w:sz w:val="28"/>
        </w:rPr>
        <w:t>202</w:t>
      </w:r>
      <w:r>
        <w:rPr>
          <w:rFonts w:hint="eastAsia" w:ascii="黑体" w:hAnsi="黑体" w:eastAsia="黑体" w:cs="黑体"/>
          <w:bCs/>
          <w:caps w:val="0"/>
          <w:color w:val="auto"/>
          <w:spacing w:val="0"/>
          <w:position w:val="0"/>
          <w:sz w:val="28"/>
          <w:lang w:val="en-US" w:eastAsia="zh-CN"/>
        </w:rPr>
        <w:t>4</w:t>
      </w:r>
      <w:r>
        <w:rPr>
          <w:rFonts w:hint="eastAsia" w:ascii="黑体" w:hAnsi="黑体" w:eastAsia="黑体" w:cs="黑体"/>
          <w:bCs/>
          <w:caps w:val="0"/>
          <w:color w:val="auto"/>
          <w:spacing w:val="0"/>
          <w:position w:val="0"/>
          <w:sz w:val="28"/>
        </w:rPr>
        <w:t>-</w:t>
      </w:r>
      <w:r>
        <w:rPr>
          <w:rFonts w:hint="eastAsia" w:ascii="黑体" w:hAnsi="黑体" w:eastAsia="黑体" w:cs="黑体"/>
          <w:bCs/>
          <w:caps w:val="0"/>
          <w:color w:val="auto"/>
          <w:spacing w:val="0"/>
          <w:position w:val="0"/>
          <w:sz w:val="28"/>
          <w:lang w:val="en-US" w:eastAsia="zh-CN"/>
        </w:rPr>
        <w:t>XX</w:t>
      </w:r>
      <w:r>
        <w:rPr>
          <w:rFonts w:hint="eastAsia" w:ascii="黑体" w:hAnsi="黑体" w:eastAsia="黑体" w:cs="黑体"/>
          <w:bCs/>
          <w:caps w:val="0"/>
          <w:color w:val="auto"/>
          <w:spacing w:val="0"/>
          <w:position w:val="0"/>
          <w:sz w:val="28"/>
        </w:rPr>
        <w:t>-</w:t>
      </w:r>
      <w:r>
        <w:rPr>
          <w:rFonts w:hint="eastAsia" w:ascii="黑体" w:hAnsi="黑体" w:eastAsia="黑体" w:cs="黑体"/>
          <w:bCs/>
          <w:caps w:val="0"/>
          <w:color w:val="auto"/>
          <w:spacing w:val="0"/>
          <w:position w:val="0"/>
          <w:sz w:val="28"/>
          <w:lang w:val="en-US" w:eastAsia="zh-CN"/>
        </w:rPr>
        <w:t>XX</w:t>
      </w:r>
      <w:r>
        <w:rPr>
          <w:rFonts w:hint="default" w:ascii="Times New Roman" w:hAnsi="Times New Roman" w:eastAsia="黑体" w:cs="Times New Roman"/>
          <w:bCs/>
          <w:caps w:val="0"/>
          <w:color w:val="auto"/>
          <w:spacing w:val="0"/>
          <w:position w:val="0"/>
          <w:sz w:val="28"/>
        </w:rPr>
        <w:t xml:space="preserve">发布            </w:t>
      </w:r>
      <w:r>
        <w:rPr>
          <w:rFonts w:hint="eastAsia" w:eastAsia="黑体" w:cs="Times New Roman"/>
          <w:bCs/>
          <w:caps w:val="0"/>
          <w:color w:val="auto"/>
          <w:spacing w:val="0"/>
          <w:position w:val="0"/>
          <w:sz w:val="28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Cs/>
          <w:caps w:val="0"/>
          <w:color w:val="auto"/>
          <w:spacing w:val="0"/>
          <w:position w:val="0"/>
          <w:sz w:val="28"/>
        </w:rPr>
        <w:t xml:space="preserve">  </w:t>
      </w:r>
      <w:r>
        <w:rPr>
          <w:rFonts w:hint="eastAsia" w:eastAsia="黑体" w:cs="Times New Roman"/>
          <w:bCs/>
          <w:caps w:val="0"/>
          <w:color w:val="auto"/>
          <w:spacing w:val="0"/>
          <w:position w:val="0"/>
          <w:sz w:val="28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Cs/>
          <w:caps w:val="0"/>
          <w:color w:val="auto"/>
          <w:spacing w:val="0"/>
          <w:position w:val="0"/>
          <w:sz w:val="28"/>
        </w:rPr>
        <w:t xml:space="preserve">              </w:t>
      </w:r>
      <w:r>
        <w:rPr>
          <w:rFonts w:hint="eastAsia" w:ascii="黑体" w:hAnsi="黑体" w:eastAsia="黑体" w:cs="黑体"/>
          <w:bCs/>
          <w:caps w:val="0"/>
          <w:color w:val="auto"/>
          <w:spacing w:val="0"/>
          <w:position w:val="0"/>
          <w:sz w:val="28"/>
        </w:rPr>
        <w:t>202</w:t>
      </w:r>
      <w:r>
        <w:rPr>
          <w:rFonts w:hint="eastAsia" w:ascii="黑体" w:hAnsi="黑体" w:eastAsia="黑体" w:cs="黑体"/>
          <w:bCs/>
          <w:caps w:val="0"/>
          <w:color w:val="auto"/>
          <w:spacing w:val="0"/>
          <w:position w:val="0"/>
          <w:sz w:val="28"/>
          <w:lang w:val="en-US" w:eastAsia="zh-CN"/>
        </w:rPr>
        <w:t>4</w:t>
      </w:r>
      <w:r>
        <w:rPr>
          <w:rFonts w:hint="eastAsia" w:ascii="黑体" w:hAnsi="黑体" w:eastAsia="黑体" w:cs="黑体"/>
          <w:bCs/>
          <w:caps w:val="0"/>
          <w:color w:val="auto"/>
          <w:spacing w:val="0"/>
          <w:position w:val="0"/>
          <w:sz w:val="28"/>
        </w:rPr>
        <w:t>-</w:t>
      </w:r>
      <w:r>
        <w:rPr>
          <w:rFonts w:hint="eastAsia" w:ascii="黑体" w:hAnsi="黑体" w:eastAsia="黑体" w:cs="黑体"/>
          <w:bCs/>
          <w:caps w:val="0"/>
          <w:color w:val="auto"/>
          <w:spacing w:val="0"/>
          <w:position w:val="0"/>
          <w:sz w:val="28"/>
          <w:lang w:val="en-US" w:eastAsia="zh-CN"/>
        </w:rPr>
        <w:t>XX</w:t>
      </w:r>
      <w:r>
        <w:rPr>
          <w:rFonts w:hint="eastAsia" w:ascii="黑体" w:hAnsi="黑体" w:eastAsia="黑体" w:cs="黑体"/>
          <w:bCs/>
          <w:caps w:val="0"/>
          <w:color w:val="auto"/>
          <w:spacing w:val="0"/>
          <w:position w:val="0"/>
          <w:sz w:val="28"/>
        </w:rPr>
        <w:t>-</w:t>
      </w:r>
      <w:r>
        <w:rPr>
          <w:rFonts w:hint="eastAsia" w:ascii="黑体" w:hAnsi="黑体" w:eastAsia="黑体" w:cs="黑体"/>
          <w:bCs/>
          <w:caps w:val="0"/>
          <w:color w:val="auto"/>
          <w:spacing w:val="0"/>
          <w:position w:val="0"/>
          <w:sz w:val="28"/>
          <w:lang w:val="en-US" w:eastAsia="zh-CN"/>
        </w:rPr>
        <w:t>XX</w:t>
      </w:r>
      <w:r>
        <w:rPr>
          <w:rFonts w:hint="default" w:ascii="Times New Roman" w:hAnsi="Times New Roman" w:eastAsia="黑体" w:cs="Times New Roman"/>
          <w:bCs/>
          <w:caps w:val="0"/>
          <w:color w:val="auto"/>
          <w:spacing w:val="0"/>
          <w:position w:val="0"/>
          <w:sz w:val="28"/>
        </w:rPr>
        <w:t>实施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120" w:lineRule="exact"/>
        <w:jc w:val="center"/>
        <w:textAlignment w:val="center"/>
        <w:rPr>
          <w:rFonts w:hint="eastAsia" w:ascii="方正小标宋简体" w:eastAsia="方正小标宋简体"/>
          <w:color w:val="auto"/>
          <w:spacing w:val="32"/>
          <w:w w:val="110"/>
          <w:sz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140" w:lineRule="exact"/>
        <w:jc w:val="center"/>
        <w:textAlignment w:val="center"/>
        <w:rPr>
          <w:rFonts w:hint="eastAsia" w:ascii="方正小标宋简体" w:eastAsia="方正小标宋简体"/>
          <w:color w:val="auto"/>
          <w:spacing w:val="32"/>
          <w:w w:val="110"/>
          <w:sz w:val="44"/>
        </w:rPr>
      </w:pPr>
    </w:p>
    <w:p>
      <w:pPr>
        <w:pageBreakBefore w:val="0"/>
        <w:kinsoku/>
        <w:wordWrap/>
        <w:overflowPunct/>
        <w:topLinePunct w:val="0"/>
        <w:bidi w:val="0"/>
        <w:snapToGrid w:val="0"/>
        <w:jc w:val="center"/>
        <w:textAlignment w:val="center"/>
        <w:rPr>
          <w:rFonts w:hint="default" w:ascii="Times New Roman" w:hAnsi="Times New Roman" w:eastAsia="黑体" w:cs="Times New Roman"/>
          <w:caps w:val="0"/>
          <w:color w:val="auto"/>
          <w:spacing w:val="0"/>
          <w:position w:val="0"/>
          <w:sz w:val="28"/>
        </w:rPr>
      </w:pPr>
      <w:r>
        <w:rPr>
          <w:rFonts w:hint="eastAsia" w:ascii="方正小标宋简体" w:eastAsia="方正小标宋简体"/>
          <w:color w:val="auto"/>
          <w:spacing w:val="32"/>
          <w:w w:val="110"/>
          <w:sz w:val="44"/>
        </w:rPr>
        <w:t>黑龙江省市场监督管理局</w:t>
      </w:r>
      <w:r>
        <w:rPr>
          <w:rFonts w:hint="eastAsia" w:ascii="方正小标宋简体" w:eastAsia="方正小标宋简体"/>
          <w:color w:val="auto"/>
          <w:spacing w:val="32"/>
          <w:w w:val="110"/>
          <w:sz w:val="44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caps w:val="0"/>
          <w:color w:val="auto"/>
          <w:spacing w:val="0"/>
          <w:position w:val="0"/>
          <w:sz w:val="28"/>
        </w:rPr>
        <w:t>发</w:t>
      </w:r>
      <w:r>
        <w:rPr>
          <w:rFonts w:hint="eastAsia" w:eastAsia="黑体" w:cs="Times New Roman"/>
          <w:caps w:val="0"/>
          <w:color w:val="auto"/>
          <w:spacing w:val="0"/>
          <w:position w:val="0"/>
          <w:sz w:val="15"/>
          <w:szCs w:val="15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caps w:val="0"/>
          <w:color w:val="auto"/>
          <w:spacing w:val="0"/>
          <w:position w:val="0"/>
          <w:sz w:val="28"/>
        </w:rPr>
        <w:t>布</w:t>
      </w:r>
    </w:p>
    <w:p>
      <w:pPr>
        <w:rPr>
          <w:rFonts w:hint="default" w:ascii="Times New Roman" w:hAnsi="Times New Roman" w:cs="Times New Roman"/>
          <w:caps w:val="0"/>
          <w:color w:val="auto"/>
          <w:spacing w:val="0"/>
          <w:position w:val="0"/>
          <w:sz w:val="36"/>
          <w:szCs w:val="36"/>
        </w:rPr>
        <w:sectPr>
          <w:headerReference r:id="rId5" w:type="first"/>
          <w:headerReference r:id="rId3" w:type="default"/>
          <w:headerReference r:id="rId4" w:type="even"/>
          <w:pgSz w:w="11906" w:h="16838"/>
          <w:pgMar w:top="1701" w:right="1417" w:bottom="1134" w:left="1417" w:header="851" w:footer="567" w:gutter="113"/>
          <w:pgNumType w:fmt="decimal" w:start="1"/>
          <w:cols w:space="720" w:num="1"/>
          <w:docGrid w:type="lines" w:linePitch="312" w:charSpace="0"/>
        </w:sectPr>
      </w:pPr>
      <w:bookmarkStart w:id="40" w:name="_GoBack"/>
      <w:bookmarkEnd w:id="40"/>
    </w:p>
    <w:p>
      <w:pPr>
        <w:ind w:firstLine="320" w:firstLineChars="200"/>
        <w:rPr>
          <w:rFonts w:hint="eastAsia" w:eastAsia="黑体"/>
          <w:sz w:val="16"/>
          <w:szCs w:val="16"/>
        </w:rPr>
      </w:pPr>
    </w:p>
    <w:p>
      <w:pPr>
        <w:ind w:firstLine="880" w:firstLineChars="200"/>
        <w:rPr>
          <w:rFonts w:eastAsia="黑体"/>
          <w:sz w:val="44"/>
          <w:szCs w:val="44"/>
        </w:rPr>
      </w:pPr>
      <w:r>
        <w:rPr>
          <w:rFonts w:eastAsia="黑体"/>
          <w:bCs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3572510</wp:posOffset>
                </wp:positionH>
                <wp:positionV relativeFrom="paragraph">
                  <wp:posOffset>184785</wp:posOffset>
                </wp:positionV>
                <wp:extent cx="1856740" cy="866140"/>
                <wp:effectExtent l="0" t="0" r="0" b="0"/>
                <wp:wrapNone/>
                <wp:docPr id="6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6740" cy="866140"/>
                          <a:chOff x="7078" y="2593"/>
                          <a:chExt cx="2597" cy="1247"/>
                        </a:xfrm>
                      </wpg:grpSpPr>
                      <pic:pic xmlns:pic="http://schemas.openxmlformats.org/drawingml/2006/picture">
                        <pic:nvPicPr>
                          <pic:cNvPr id="4" name="图片 8"/>
                          <pic:cNvPicPr>
                            <a:picLocks noChangeAspect="true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078" y="2593"/>
                            <a:ext cx="2597" cy="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文本框 4"/>
                        <wps:cNvSpPr txBox="true"/>
                        <wps:spPr>
                          <a:xfrm>
                            <a:off x="7155" y="2880"/>
                            <a:ext cx="2415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黑体" w:hAnsi="黑体" w:eastAsia="黑体" w:cs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sz w:val="28"/>
                                  <w:szCs w:val="28"/>
                                </w:rPr>
                                <w:t>JJF（黑）XX—2024</w:t>
                              </w:r>
                            </w:p>
                          </w:txbxContent>
                        </wps:txbx>
                        <wps:bodyPr wrap="square" upright="true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" o:spid="_x0000_s1026" o:spt="203" style="position:absolute;left:0pt;margin-left:281.3pt;margin-top:14.55pt;height:68.2pt;width:146.2pt;z-index:251662336;mso-width-relative:page;mso-height-relative:page;" coordorigin="7078,2593" coordsize="2597,1247" o:gfxdata="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">
                <o:lock v:ext="edit" aspectratio="f"/>
                <v:shape id="图片 8" o:spid="_x0000_s1026" o:spt="75" type="#_x0000_t75" style="position:absolute;left:7078;top:2593;height:1247;width:2597;" filled="f" o:preferrelative="t" stroked="f" coordsize="21600,21600" o:gfxdata="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lvFSB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8" o:title=""/>
                  <o:lock v:ext="edit" aspectratio="t"/>
                </v:shape>
                <v:shape id="文本框 4" o:spid="_x0000_s1026" o:spt="202" type="#_x0000_t202" style="position:absolute;left:7155;top:2880;height:600;width:2415;" filled="f" stroked="f" coordsize="21600,21600" o:gfxdata="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8Uf8P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黑体" w:hAnsi="黑体" w:eastAsia="黑体" w:cs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sz w:val="28"/>
                            <w:szCs w:val="28"/>
                          </w:rPr>
                          <w:t>JJF（黑）XX—2024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eastAsia="黑体"/>
          <w:sz w:val="44"/>
          <w:szCs w:val="44"/>
        </w:rPr>
        <w:t>微量进样器</w:t>
      </w:r>
      <w:r>
        <w:rPr>
          <w:rFonts w:eastAsia="黑体"/>
          <w:sz w:val="44"/>
          <w:szCs w:val="44"/>
        </w:rPr>
        <w:t>校准规范</w:t>
      </w:r>
    </w:p>
    <w:p>
      <w:pPr>
        <w:snapToGrid w:val="0"/>
        <w:spacing w:before="156" w:beforeLines="50" w:after="156" w:afterLines="50"/>
        <w:ind w:right="3469" w:rightChars="1652"/>
        <w:jc w:val="center"/>
        <w:textAlignment w:val="center"/>
        <w:rPr>
          <w:rFonts w:ascii="黑体" w:hAnsi="黑体" w:eastAsia="黑体" w:cs="黑体"/>
          <w:bCs/>
          <w:spacing w:val="6"/>
          <w:sz w:val="24"/>
        </w:rPr>
      </w:pPr>
      <w:r>
        <w:rPr>
          <w:rFonts w:hint="eastAsia" w:ascii="黑体" w:hAnsi="黑体" w:eastAsia="黑体" w:cs="黑体"/>
          <w:bCs/>
          <w:spacing w:val="6"/>
          <w:sz w:val="24"/>
        </w:rPr>
        <w:t>Calibration Specification for</w:t>
      </w:r>
    </w:p>
    <w:p>
      <w:pPr>
        <w:snapToGrid w:val="0"/>
        <w:spacing w:before="156" w:beforeLines="50" w:after="156" w:afterLines="50"/>
        <w:ind w:right="3469" w:rightChars="1652"/>
        <w:jc w:val="center"/>
        <w:textAlignment w:val="center"/>
        <w:rPr>
          <w:rFonts w:ascii="黑体" w:hAnsi="黑体" w:eastAsia="黑体" w:cs="黑体"/>
          <w:bCs/>
          <w:spacing w:val="6"/>
          <w:sz w:val="24"/>
        </w:rPr>
      </w:pPr>
      <w:r>
        <w:rPr>
          <w:rFonts w:hint="eastAsia" w:ascii="黑体" w:hAnsi="黑体" w:eastAsia="黑体" w:cs="黑体"/>
          <w:bCs/>
          <w:spacing w:val="6"/>
          <w:sz w:val="24"/>
        </w:rPr>
        <w:t>Micro Sampling Syringe</w:t>
      </w:r>
    </w:p>
    <w:p>
      <w:pPr>
        <w:jc w:val="center"/>
        <w:textAlignment w:val="center"/>
        <w:rPr>
          <w:sz w:val="36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261620</wp:posOffset>
                </wp:positionV>
                <wp:extent cx="5365750" cy="635"/>
                <wp:effectExtent l="0" t="0" r="0" b="0"/>
                <wp:wrapNone/>
                <wp:docPr id="3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14.85pt;margin-top:20.6pt;height:0.05pt;width:422.5pt;z-index:251661312;mso-width-relative:page;mso-height-relative:page;" filled="f" stroked="t" coordsize="21600,21600" o:allowincell="f" o:gfxdata="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FgAAAGRycy9QSwECFAAUAAAACACHTuJAGn9LOtYAAAAIAQAADwAA&#10;AAAAAAABACAAAAA4AAAAZHJzL2Rvd25yZXYueG1sUEsBAhQAFAAAAAgAh07iQOFGYGrJAQAAjwMA&#10;AA4AAAAAAAAAAQAgAAAAOwEAAGRycy9lMm9Eb2MueG1sUEsFBgAAAAAGAAYAWQEAAHY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36"/>
        </w:rPr>
        <w:t xml:space="preserve"> </w:t>
      </w:r>
    </w:p>
    <w:p>
      <w:pPr>
        <w:pStyle w:val="15"/>
        <w:ind w:firstLine="1260" w:firstLineChars="450"/>
        <w:textAlignment w:val="center"/>
        <w:rPr>
          <w:rFonts w:eastAsia="黑体"/>
          <w:bCs/>
          <w:sz w:val="28"/>
        </w:rPr>
      </w:pPr>
    </w:p>
    <w:p>
      <w:pPr>
        <w:pStyle w:val="15"/>
        <w:ind w:firstLine="1260" w:firstLineChars="450"/>
        <w:textAlignment w:val="center"/>
        <w:rPr>
          <w:rFonts w:eastAsia="黑体"/>
          <w:bCs/>
          <w:sz w:val="28"/>
        </w:rPr>
      </w:pPr>
    </w:p>
    <w:p>
      <w:pPr>
        <w:pStyle w:val="15"/>
        <w:ind w:firstLine="1260" w:firstLineChars="450"/>
        <w:textAlignment w:val="center"/>
        <w:rPr>
          <w:rFonts w:eastAsia="黑体"/>
          <w:bCs/>
          <w:sz w:val="28"/>
        </w:rPr>
      </w:pPr>
    </w:p>
    <w:p>
      <w:pPr>
        <w:pStyle w:val="15"/>
        <w:ind w:firstLine="1260" w:firstLineChars="450"/>
        <w:textAlignment w:val="center"/>
        <w:rPr>
          <w:rFonts w:eastAsia="黑体"/>
          <w:bCs/>
          <w:sz w:val="28"/>
        </w:rPr>
      </w:pPr>
    </w:p>
    <w:p>
      <w:pPr>
        <w:pStyle w:val="15"/>
        <w:ind w:firstLine="1260" w:firstLineChars="450"/>
        <w:textAlignment w:val="center"/>
        <w:rPr>
          <w:rFonts w:eastAsia="黑体"/>
          <w:bCs/>
          <w:sz w:val="28"/>
        </w:rPr>
      </w:pPr>
    </w:p>
    <w:p>
      <w:pPr>
        <w:pStyle w:val="15"/>
        <w:ind w:firstLine="1260" w:firstLineChars="450"/>
        <w:jc w:val="left"/>
        <w:textAlignment w:val="center"/>
        <w:rPr>
          <w:sz w:val="28"/>
          <w:szCs w:val="28"/>
        </w:rPr>
      </w:pPr>
      <w:r>
        <w:rPr>
          <w:rFonts w:eastAsia="黑体"/>
          <w:bCs/>
          <w:sz w:val="28"/>
        </w:rPr>
        <w:t>归</w:t>
      </w:r>
      <w:r>
        <w:rPr>
          <w:rFonts w:hint="eastAsia" w:eastAsia="黑体"/>
          <w:bCs/>
          <w:sz w:val="28"/>
        </w:rPr>
        <w:t xml:space="preserve"> </w:t>
      </w:r>
      <w:r>
        <w:rPr>
          <w:rFonts w:eastAsia="黑体"/>
          <w:bCs/>
          <w:sz w:val="28"/>
        </w:rPr>
        <w:t>口</w:t>
      </w:r>
      <w:r>
        <w:rPr>
          <w:rFonts w:hint="eastAsia" w:eastAsia="黑体"/>
          <w:bCs/>
          <w:sz w:val="28"/>
        </w:rPr>
        <w:t xml:space="preserve"> </w:t>
      </w:r>
      <w:r>
        <w:rPr>
          <w:rFonts w:eastAsia="黑体"/>
          <w:bCs/>
          <w:sz w:val="28"/>
        </w:rPr>
        <w:t>单</w:t>
      </w:r>
      <w:r>
        <w:rPr>
          <w:rFonts w:hint="eastAsia" w:eastAsia="黑体"/>
          <w:bCs/>
          <w:sz w:val="28"/>
        </w:rPr>
        <w:t xml:space="preserve"> </w:t>
      </w:r>
      <w:r>
        <w:rPr>
          <w:rFonts w:eastAsia="黑体"/>
          <w:bCs/>
          <w:sz w:val="28"/>
        </w:rPr>
        <w:t>位：</w:t>
      </w:r>
      <w:r>
        <w:rPr>
          <w:bCs/>
          <w:sz w:val="28"/>
        </w:rPr>
        <w:t>黑龙江省市场监督管理局</w:t>
      </w:r>
    </w:p>
    <w:p>
      <w:pPr>
        <w:pStyle w:val="15"/>
        <w:ind w:firstLine="1260" w:firstLineChars="450"/>
        <w:jc w:val="left"/>
        <w:textAlignment w:val="center"/>
        <w:rPr>
          <w:bCs/>
          <w:sz w:val="28"/>
        </w:rPr>
      </w:pPr>
      <w:r>
        <w:rPr>
          <w:rFonts w:eastAsia="黑体"/>
          <w:bCs/>
          <w:sz w:val="28"/>
        </w:rPr>
        <w:t>主要起草单位：</w:t>
      </w:r>
      <w:r>
        <w:rPr>
          <w:bCs/>
          <w:sz w:val="28"/>
        </w:rPr>
        <w:t>方正县产品质量综合检验检测中心</w:t>
      </w:r>
    </w:p>
    <w:p>
      <w:pPr>
        <w:pStyle w:val="15"/>
        <w:textAlignment w:val="center"/>
        <w:rPr>
          <w:rFonts w:eastAsia="黑体"/>
          <w:bCs/>
          <w:sz w:val="28"/>
          <w:szCs w:val="28"/>
        </w:rPr>
      </w:pPr>
    </w:p>
    <w:p>
      <w:pPr>
        <w:textAlignment w:val="center"/>
        <w:rPr>
          <w:bCs/>
          <w:sz w:val="28"/>
          <w:szCs w:val="28"/>
        </w:rPr>
      </w:pPr>
    </w:p>
    <w:p>
      <w:pPr>
        <w:textAlignment w:val="center"/>
        <w:rPr>
          <w:sz w:val="28"/>
        </w:rPr>
      </w:pPr>
    </w:p>
    <w:p>
      <w:pPr>
        <w:tabs>
          <w:tab w:val="left" w:pos="1890"/>
        </w:tabs>
        <w:textAlignment w:val="center"/>
        <w:rPr>
          <w:sz w:val="28"/>
        </w:rPr>
      </w:pPr>
    </w:p>
    <w:p>
      <w:pPr>
        <w:tabs>
          <w:tab w:val="left" w:pos="1785"/>
        </w:tabs>
        <w:textAlignment w:val="center"/>
        <w:rPr>
          <w:rFonts w:eastAsia="仿宋_GB2312"/>
          <w:sz w:val="28"/>
        </w:rPr>
      </w:pPr>
    </w:p>
    <w:p>
      <w:pPr>
        <w:tabs>
          <w:tab w:val="left" w:pos="1785"/>
        </w:tabs>
        <w:textAlignment w:val="center"/>
        <w:rPr>
          <w:rFonts w:eastAsia="仿宋_GB2312"/>
          <w:sz w:val="28"/>
        </w:rPr>
      </w:pPr>
    </w:p>
    <w:p>
      <w:pPr>
        <w:tabs>
          <w:tab w:val="left" w:pos="1785"/>
        </w:tabs>
        <w:textAlignment w:val="center"/>
        <w:rPr>
          <w:rFonts w:eastAsia="仿宋_GB2312"/>
          <w:sz w:val="28"/>
        </w:rPr>
      </w:pPr>
    </w:p>
    <w:p>
      <w:pPr>
        <w:tabs>
          <w:tab w:val="left" w:pos="1785"/>
        </w:tabs>
        <w:textAlignment w:val="center"/>
        <w:rPr>
          <w:rFonts w:eastAsia="仿宋_GB2312"/>
          <w:sz w:val="28"/>
          <w:szCs w:val="28"/>
        </w:rPr>
      </w:pPr>
    </w:p>
    <w:p>
      <w:pPr>
        <w:ind w:firstLine="560" w:firstLineChars="200"/>
        <w:textAlignment w:val="center"/>
        <w:rPr>
          <w:sz w:val="28"/>
          <w:szCs w:val="28"/>
        </w:rPr>
      </w:pPr>
      <w:r>
        <w:rPr>
          <w:sz w:val="28"/>
          <w:szCs w:val="28"/>
        </w:rPr>
        <w:t>本规范委托方正县产品质量综合检验检测中心负责解释</w:t>
      </w:r>
    </w:p>
    <w:p>
      <w:pPr>
        <w:textAlignment w:val="center"/>
        <w:rPr>
          <w:sz w:val="28"/>
          <w:szCs w:val="28"/>
          <w:shd w:val="clear" w:color="auto" w:fill="FFFFFF"/>
        </w:rPr>
        <w:sectPr>
          <w:headerReference r:id="rId6" w:type="default"/>
          <w:footerReference r:id="rId7" w:type="default"/>
          <w:pgSz w:w="11906" w:h="16838"/>
          <w:pgMar w:top="1701" w:right="1417" w:bottom="1247" w:left="1417" w:header="1247" w:footer="851" w:gutter="113"/>
          <w:pgNumType w:fmt="upperRoman" w:start="1"/>
          <w:cols w:space="720" w:num="1"/>
          <w:docGrid w:type="lines" w:linePitch="312" w:charSpace="0"/>
        </w:sectPr>
      </w:pPr>
    </w:p>
    <w:p>
      <w:pPr>
        <w:spacing w:line="480" w:lineRule="auto"/>
        <w:jc w:val="left"/>
        <w:textAlignment w:val="center"/>
        <w:rPr>
          <w:rFonts w:eastAsia="黑体"/>
          <w:sz w:val="28"/>
        </w:rPr>
      </w:pPr>
    </w:p>
    <w:p>
      <w:pPr>
        <w:spacing w:line="480" w:lineRule="auto"/>
        <w:jc w:val="left"/>
        <w:textAlignment w:val="center"/>
        <w:rPr>
          <w:rFonts w:eastAsia="黑体"/>
          <w:sz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480" w:lineRule="auto"/>
        <w:ind w:left="571"/>
        <w:textAlignment w:val="auto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2"/>
          <w:sz w:val="28"/>
          <w:szCs w:val="28"/>
        </w:rPr>
        <w:t>本规范主要起草人：</w:t>
      </w:r>
    </w:p>
    <w:p>
      <w:pPr>
        <w:pStyle w:val="15"/>
        <w:ind w:firstLine="1680" w:firstLineChars="600"/>
        <w:jc w:val="left"/>
        <w:rPr>
          <w:rFonts w:cs="Times New Roman" w:asciiTheme="minorEastAsia" w:hAnsiTheme="minorEastAsia" w:eastAsiaTheme="minorEastAsia"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cs="Times New Roman" w:asciiTheme="minorEastAsia" w:hAnsiTheme="minorEastAsia" w:eastAsiaTheme="minorEastAsia"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李佳明</w:t>
      </w:r>
      <w:r>
        <w:rPr>
          <w:rFonts w:cs="Times New Roman" w:asciiTheme="minorEastAsia" w:hAnsiTheme="minorEastAsia" w:eastAsiaTheme="minorEastAsia"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（</w:t>
      </w:r>
      <w:r>
        <w:rPr>
          <w:rFonts w:hint="eastAsia" w:cs="Times New Roman" w:asciiTheme="minorEastAsia" w:hAnsiTheme="minorEastAsia" w:eastAsiaTheme="minorEastAsia"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方正县产品质量综合检验检测中心</w:t>
      </w:r>
      <w:r>
        <w:rPr>
          <w:rFonts w:cs="Times New Roman" w:asciiTheme="minorEastAsia" w:hAnsiTheme="minorEastAsia" w:eastAsiaTheme="minorEastAsia"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）</w:t>
      </w:r>
    </w:p>
    <w:p>
      <w:pPr>
        <w:pStyle w:val="15"/>
        <w:ind w:firstLine="1680" w:firstLineChars="600"/>
        <w:jc w:val="left"/>
        <w:rPr>
          <w:rFonts w:cs="Times New Roman" w:asciiTheme="minorEastAsia" w:hAnsiTheme="minorEastAsia" w:eastAsiaTheme="minorEastAsia"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cs="Times New Roman" w:asciiTheme="minorEastAsia" w:hAnsiTheme="minorEastAsia" w:eastAsiaTheme="minorEastAsia"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吴月明</w:t>
      </w:r>
      <w:r>
        <w:rPr>
          <w:rFonts w:cs="Times New Roman" w:asciiTheme="minorEastAsia" w:hAnsiTheme="minorEastAsia" w:eastAsiaTheme="minorEastAsia"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（</w:t>
      </w:r>
      <w:r>
        <w:rPr>
          <w:rFonts w:hint="eastAsia" w:cs="Times New Roman" w:asciiTheme="minorEastAsia" w:hAnsiTheme="minorEastAsia" w:eastAsiaTheme="minorEastAsia"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哈尔滨市计量检定测试院</w:t>
      </w:r>
      <w:r>
        <w:rPr>
          <w:rFonts w:cs="Times New Roman" w:asciiTheme="minorEastAsia" w:hAnsiTheme="minorEastAsia" w:eastAsiaTheme="minorEastAsia"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）</w:t>
      </w:r>
    </w:p>
    <w:p>
      <w:pPr>
        <w:pStyle w:val="15"/>
        <w:ind w:firstLine="1680" w:firstLineChars="600"/>
        <w:jc w:val="left"/>
        <w:rPr>
          <w:rFonts w:hint="eastAsia" w:cs="Times New Roman" w:asciiTheme="minorEastAsia" w:hAnsiTheme="minorEastAsia" w:eastAsiaTheme="minorEastAsia"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 w:asciiTheme="minorEastAsia" w:hAnsiTheme="minorEastAsia" w:eastAsiaTheme="minorEastAsia"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李云星（方正县产品质量综合检验检测中心）</w:t>
      </w:r>
    </w:p>
    <w:p>
      <w:pPr>
        <w:pStyle w:val="15"/>
        <w:ind w:firstLine="1680" w:firstLineChars="600"/>
        <w:jc w:val="left"/>
        <w:rPr>
          <w:rFonts w:hint="eastAsia" w:cs="Times New Roman" w:asciiTheme="minorEastAsia" w:hAnsiTheme="minorEastAsia" w:eastAsiaTheme="minorEastAsia"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 w:asciiTheme="minorEastAsia" w:hAnsiTheme="minorEastAsia" w:eastAsiaTheme="minorEastAsia"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刘剑英（方正县产品质量综合检验检测中心）</w:t>
      </w:r>
    </w:p>
    <w:p>
      <w:pPr>
        <w:pStyle w:val="15"/>
        <w:ind w:firstLine="1680" w:firstLineChars="600"/>
        <w:jc w:val="left"/>
        <w:rPr>
          <w:rFonts w:hint="eastAsia" w:cs="Times New Roman" w:asciiTheme="minorEastAsia" w:hAnsiTheme="minorEastAsia" w:eastAsiaTheme="minorEastAsia"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 w:asciiTheme="minorEastAsia" w:hAnsiTheme="minorEastAsia" w:eastAsiaTheme="minorEastAsia"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杨  瑾（哈尔滨市计量检定测试院）</w:t>
      </w:r>
    </w:p>
    <w:p>
      <w:pPr>
        <w:pStyle w:val="15"/>
        <w:ind w:firstLine="1680" w:firstLineChars="600"/>
        <w:jc w:val="left"/>
        <w:rPr>
          <w:rFonts w:hint="eastAsia" w:cs="Times New Roman" w:asciiTheme="minorEastAsia" w:hAnsiTheme="minorEastAsia" w:eastAsiaTheme="minorEastAsia"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 w:asciiTheme="minorEastAsia" w:hAnsiTheme="minorEastAsia" w:eastAsiaTheme="minorEastAsia"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魏金财（延寿县质量技术监督检验检测中心）</w:t>
      </w:r>
    </w:p>
    <w:p>
      <w:pPr>
        <w:pStyle w:val="15"/>
        <w:ind w:firstLine="1680" w:firstLineChars="600"/>
        <w:jc w:val="left"/>
        <w:rPr>
          <w:rFonts w:hint="eastAsia" w:cs="Times New Roman" w:asciiTheme="minorEastAsia" w:hAnsiTheme="minorEastAsia" w:eastAsiaTheme="minorEastAsia"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 w:asciiTheme="minorEastAsia" w:hAnsiTheme="minorEastAsia" w:eastAsiaTheme="minorEastAsia"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张  丽（方正县产品质量综合检验检测中心）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480" w:lineRule="auto"/>
        <w:ind w:left="1410"/>
        <w:textAlignment w:val="auto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2"/>
          <w:sz w:val="28"/>
          <w:szCs w:val="28"/>
        </w:rPr>
        <w:t>参加起草人：</w:t>
      </w:r>
    </w:p>
    <w:p>
      <w:pPr>
        <w:pStyle w:val="15"/>
        <w:ind w:firstLine="1680" w:firstLineChars="600"/>
        <w:jc w:val="left"/>
        <w:rPr>
          <w:rFonts w:hint="eastAsia" w:cs="Times New Roman" w:asciiTheme="minorEastAsia" w:hAnsiTheme="minorEastAsia" w:eastAsiaTheme="minorEastAsia"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 w:asciiTheme="minorEastAsia" w:hAnsiTheme="minorEastAsia" w:eastAsiaTheme="minorEastAsia"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赵旷宇（方正县产品质量综合检验检测中心）</w:t>
      </w:r>
    </w:p>
    <w:p>
      <w:pPr>
        <w:pStyle w:val="15"/>
        <w:ind w:firstLine="1680" w:firstLineChars="600"/>
        <w:jc w:val="left"/>
        <w:rPr>
          <w:rFonts w:hint="eastAsia" w:cs="Times New Roman" w:asciiTheme="minorEastAsia" w:hAnsiTheme="minorEastAsia" w:eastAsiaTheme="minorEastAsia"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 w:asciiTheme="minorEastAsia" w:hAnsiTheme="minorEastAsia" w:eastAsiaTheme="minorEastAsia"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赵立娟（方正县产品质量综合检验检测中心）</w:t>
      </w:r>
    </w:p>
    <w:p>
      <w:pPr>
        <w:pStyle w:val="15"/>
        <w:ind w:firstLine="1680" w:firstLineChars="600"/>
        <w:jc w:val="left"/>
        <w:rPr>
          <w:rFonts w:hint="eastAsia" w:cs="Times New Roman" w:asciiTheme="minorEastAsia" w:hAnsiTheme="minorEastAsia" w:eastAsiaTheme="minorEastAsia"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 w:asciiTheme="minorEastAsia" w:hAnsiTheme="minorEastAsia" w:eastAsiaTheme="minorEastAsia"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鲁洪艳（方正县产品质量综合检验检测中心）</w:t>
      </w:r>
    </w:p>
    <w:p>
      <w:pPr>
        <w:pStyle w:val="15"/>
        <w:ind w:firstLine="1680" w:firstLineChars="600"/>
        <w:jc w:val="left"/>
        <w:rPr>
          <w:rFonts w:hint="eastAsia" w:cs="Times New Roman" w:asciiTheme="minorEastAsia" w:hAnsiTheme="minorEastAsia" w:eastAsiaTheme="minorEastAsia"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eastAsia="黑体"/>
          <w:bCs/>
          <w:sz w:val="28"/>
        </w:rPr>
      </w:pPr>
      <w:r>
        <w:rPr>
          <w:rFonts w:eastAsia="黑体"/>
          <w:bCs/>
          <w:sz w:val="28"/>
        </w:rPr>
        <w:br w:type="page"/>
      </w:r>
    </w:p>
    <w:p>
      <w:pPr>
        <w:pStyle w:val="15"/>
        <w:tabs>
          <w:tab w:val="center" w:pos="4216"/>
          <w:tab w:val="left" w:pos="5997"/>
        </w:tabs>
        <w:spacing w:before="100" w:beforeAutospacing="1" w:after="100" w:afterAutospacing="1" w:line="360" w:lineRule="auto"/>
        <w:ind w:left="0" w:leftChars="0"/>
        <w:textAlignment w:val="center"/>
        <w:rPr>
          <w:rFonts w:eastAsia="黑体"/>
          <w:sz w:val="18"/>
          <w:szCs w:val="18"/>
        </w:rPr>
        <w:sectPr>
          <w:footerReference r:id="rId8" w:type="default"/>
          <w:footerReference r:id="rId9" w:type="even"/>
          <w:pgSz w:w="11906" w:h="16838"/>
          <w:pgMar w:top="1701" w:right="1417" w:bottom="1247" w:left="1417" w:header="1247" w:footer="851" w:gutter="113"/>
          <w:pgNumType w:fmt="upperRoman" w:start="1"/>
          <w:cols w:space="720" w:num="1"/>
          <w:docGrid w:type="lines" w:linePitch="312" w:charSpace="0"/>
        </w:sectPr>
      </w:pPr>
      <w:bookmarkStart w:id="0" w:name="_Toc345072297"/>
      <w:bookmarkStart w:id="1" w:name="_Toc332701231"/>
    </w:p>
    <w:p>
      <w:pPr>
        <w:pStyle w:val="15"/>
        <w:tabs>
          <w:tab w:val="center" w:pos="4216"/>
          <w:tab w:val="left" w:pos="5997"/>
        </w:tabs>
        <w:spacing w:before="100" w:beforeAutospacing="1" w:after="100" w:afterAutospacing="1" w:line="360" w:lineRule="auto"/>
        <w:ind w:left="0" w:leftChars="0"/>
        <w:jc w:val="center"/>
        <w:textAlignment w:val="center"/>
        <w:outlineLvl w:val="0"/>
        <w:rPr>
          <w:rFonts w:eastAsia="黑体"/>
          <w:sz w:val="44"/>
          <w:szCs w:val="44"/>
        </w:rPr>
      </w:pPr>
      <w:bookmarkStart w:id="2" w:name="_Toc18439"/>
      <w:bookmarkStart w:id="3" w:name="_Toc24831"/>
      <w:r>
        <w:rPr>
          <w:rFonts w:eastAsia="黑体"/>
          <w:sz w:val="44"/>
          <w:szCs w:val="44"/>
        </w:rPr>
        <w:t>目  录</w:t>
      </w:r>
      <w:bookmarkEnd w:id="2"/>
      <w:bookmarkEnd w:id="3"/>
    </w:p>
    <w:p>
      <w:pPr>
        <w:pStyle w:val="19"/>
        <w:keepNext w:val="0"/>
        <w:keepLines w:val="0"/>
        <w:pageBreakBefore w:val="0"/>
        <w:widowControl w:val="0"/>
        <w:tabs>
          <w:tab w:val="right" w:leader="dot" w:pos="8959"/>
          <w:tab w:val="clear" w:pos="42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Ansi="Times New Roman" w:eastAsiaTheme="majorEastAsia"/>
          <w:caps w:val="0"/>
        </w:rPr>
        <w:fldChar w:fldCharType="begin"/>
      </w:r>
      <w:r>
        <w:rPr>
          <w:rFonts w:hAnsi="Times New Roman" w:eastAsiaTheme="majorEastAsia"/>
          <w:caps w:val="0"/>
        </w:rPr>
        <w:instrText xml:space="preserve">TOC \o "1-2" \h \u </w:instrText>
      </w:r>
      <w:r>
        <w:rPr>
          <w:rFonts w:hAnsi="Times New Roman" w:eastAsiaTheme="majorEastAsia"/>
          <w:caps w:val="0"/>
        </w:rPr>
        <w:fldChar w:fldCharType="separate"/>
      </w:r>
      <w:r>
        <w:fldChar w:fldCharType="begin"/>
      </w:r>
      <w:r>
        <w:instrText xml:space="preserve"> HYPERLINK \l "_Toc11422" </w:instrText>
      </w:r>
      <w:r>
        <w:fldChar w:fldCharType="separate"/>
      </w:r>
      <w:r>
        <w:rPr>
          <w:rFonts w:hint="eastAsia" w:ascii="宋体" w:cs="宋体"/>
          <w:caps w:val="0"/>
        </w:rPr>
        <w:t>引言</w:t>
      </w:r>
      <w:r>
        <w:rPr>
          <w:rFonts w:hint="eastAsia" w:ascii="宋体" w:cs="宋体"/>
          <w:caps w:val="0"/>
        </w:rPr>
        <w:tab/>
      </w:r>
      <w:r>
        <w:rPr>
          <w:rFonts w:hint="eastAsia" w:ascii="宋体" w:cs="宋体"/>
          <w:caps w:val="0"/>
        </w:rPr>
        <w:t>（Ⅱ</w:t>
      </w:r>
      <w:r>
        <w:rPr>
          <w:rFonts w:hint="eastAsia" w:ascii="宋体" w:cs="宋体"/>
          <w:caps w:val="0"/>
        </w:rPr>
        <w:fldChar w:fldCharType="end"/>
      </w:r>
      <w:r>
        <w:rPr>
          <w:rFonts w:hint="eastAsia" w:ascii="宋体" w:cs="宋体"/>
          <w:caps w:val="0"/>
        </w:rPr>
        <w:t>）</w:t>
      </w:r>
    </w:p>
    <w:p>
      <w:pPr>
        <w:pStyle w:val="19"/>
        <w:keepNext w:val="0"/>
        <w:keepLines w:val="0"/>
        <w:pageBreakBefore w:val="0"/>
        <w:widowControl w:val="0"/>
        <w:tabs>
          <w:tab w:val="right" w:leader="dot" w:pos="8959"/>
          <w:tab w:val="clear" w:pos="42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instrText xml:space="preserve"> HYPERLINK \l _Toc1080 </w:instrTex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/>
          <w:caps w:val="0"/>
          <w:spacing w:val="0"/>
          <w:position w:val="0"/>
          <w:sz w:val="24"/>
          <w:szCs w:val="24"/>
        </w:rPr>
        <w:t>1  范围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_Toc1080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  <w:t>）</w:t>
      </w:r>
    </w:p>
    <w:p>
      <w:pPr>
        <w:pStyle w:val="19"/>
        <w:keepNext w:val="0"/>
        <w:keepLines w:val="0"/>
        <w:pageBreakBefore w:val="0"/>
        <w:widowControl w:val="0"/>
        <w:tabs>
          <w:tab w:val="right" w:leader="dot" w:pos="8959"/>
          <w:tab w:val="clear" w:pos="42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instrText xml:space="preserve"> HYPERLINK \l _Toc12778 </w:instrTex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/>
          <w:caps w:val="0"/>
          <w:spacing w:val="0"/>
          <w:position w:val="0"/>
          <w:sz w:val="24"/>
          <w:szCs w:val="24"/>
        </w:rPr>
        <w:t>2  引用文件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_Toc12778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  <w:t>）</w:t>
      </w:r>
    </w:p>
    <w:p>
      <w:pPr>
        <w:pStyle w:val="19"/>
        <w:keepNext w:val="0"/>
        <w:keepLines w:val="0"/>
        <w:pageBreakBefore w:val="0"/>
        <w:widowControl w:val="0"/>
        <w:tabs>
          <w:tab w:val="right" w:leader="dot" w:pos="8959"/>
          <w:tab w:val="clear" w:pos="42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instrText xml:space="preserve"> HYPERLINK \l _Toc8101 </w:instrTex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/>
          <w:caps w:val="0"/>
          <w:spacing w:val="0"/>
          <w:position w:val="0"/>
          <w:sz w:val="24"/>
          <w:szCs w:val="24"/>
        </w:rPr>
        <w:t>3  术语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_Toc8101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  <w:t>）</w:t>
      </w:r>
    </w:p>
    <w:p>
      <w:pPr>
        <w:pStyle w:val="19"/>
        <w:keepNext w:val="0"/>
        <w:keepLines w:val="0"/>
        <w:pageBreakBefore w:val="0"/>
        <w:widowControl w:val="0"/>
        <w:tabs>
          <w:tab w:val="right" w:leader="dot" w:pos="8959"/>
          <w:tab w:val="clear" w:pos="42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jc w:val="both"/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instrText xml:space="preserve"> HYPERLINK \l _Toc21493 </w:instrTex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val="en-US" w:eastAsia="zh-CN"/>
        </w:rPr>
        <w:t>3.1  进样器</w: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instrText xml:space="preserve"> PAGEREF _Toc21493 \h </w:instrTex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t>1</w: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  <w:t>）</w:t>
      </w:r>
    </w:p>
    <w:p>
      <w:pPr>
        <w:pStyle w:val="19"/>
        <w:keepNext w:val="0"/>
        <w:keepLines w:val="0"/>
        <w:pageBreakBefore w:val="0"/>
        <w:widowControl w:val="0"/>
        <w:tabs>
          <w:tab w:val="right" w:leader="dot" w:pos="8959"/>
          <w:tab w:val="clear" w:pos="42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jc w:val="both"/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instrText xml:space="preserve"> HYPERLINK \l _Toc22240 </w:instrTex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val="en-US" w:eastAsia="zh-CN"/>
        </w:rPr>
        <w:t>3.2  微量进样器</w: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instrText xml:space="preserve"> HYPERLINK \l _Toc8913 </w:instrTex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instrText xml:space="preserve"> PAGEREF _Toc8913 \h </w:instrTex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t>1</w: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  <w:t>）</w:t>
      </w:r>
    </w:p>
    <w:p>
      <w:pPr>
        <w:pStyle w:val="19"/>
        <w:keepNext w:val="0"/>
        <w:keepLines w:val="0"/>
        <w:pageBreakBefore w:val="0"/>
        <w:widowControl w:val="0"/>
        <w:tabs>
          <w:tab w:val="right" w:leader="dot" w:pos="8959"/>
          <w:tab w:val="clear" w:pos="42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jc w:val="both"/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instrText xml:space="preserve"> HYPERLINK \l _Toc26752 </w:instrTex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val="en-US" w:eastAsia="zh-CN"/>
        </w:rPr>
        <w:t>3.3  无存液微量进样器</w: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val="en-US" w:eastAsia="zh-CN"/>
        </w:rPr>
        <w:t>（1）</w: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end"/>
      </w:r>
    </w:p>
    <w:p>
      <w:pPr>
        <w:pStyle w:val="19"/>
        <w:keepNext w:val="0"/>
        <w:keepLines w:val="0"/>
        <w:pageBreakBefore w:val="0"/>
        <w:widowControl w:val="0"/>
        <w:tabs>
          <w:tab w:val="right" w:leader="dot" w:pos="8959"/>
          <w:tab w:val="clear" w:pos="42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jc w:val="both"/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instrText xml:space="preserve"> HYPERLINK \l _Toc28580 </w:instrTex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val="en-US" w:eastAsia="zh-CN"/>
        </w:rPr>
        <w:t>3.4  有存液微量进样器</w: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instrText xml:space="preserve"> PAGEREF _Toc28580 \h </w:instrTex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t>1</w: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  <w:t>）</w:t>
      </w:r>
    </w:p>
    <w:p>
      <w:pPr>
        <w:pStyle w:val="19"/>
        <w:keepNext w:val="0"/>
        <w:keepLines w:val="0"/>
        <w:pageBreakBefore w:val="0"/>
        <w:widowControl w:val="0"/>
        <w:tabs>
          <w:tab w:val="right" w:leader="dot" w:pos="8959"/>
          <w:tab w:val="clear" w:pos="42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instrText xml:space="preserve"> HYPERLINK \l _Toc18208 </w:instrTex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val="en-US" w:eastAsia="zh-CN"/>
        </w:rPr>
        <w:t>3.5  气密性微量进样器</w: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instrText xml:space="preserve"> PAGEREF _Toc18208 \h </w:instrTex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t>1</w: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  <w:t>）</w:t>
      </w:r>
    </w:p>
    <w:p>
      <w:pPr>
        <w:pStyle w:val="19"/>
        <w:keepNext w:val="0"/>
        <w:keepLines w:val="0"/>
        <w:pageBreakBefore w:val="0"/>
        <w:widowControl w:val="0"/>
        <w:tabs>
          <w:tab w:val="right" w:leader="dot" w:pos="8959"/>
          <w:tab w:val="clear" w:pos="42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instrText xml:space="preserve"> HYPERLINK \l _Toc27155 </w:instrTex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/>
          <w:caps w:val="0"/>
          <w:spacing w:val="0"/>
          <w:position w:val="0"/>
          <w:sz w:val="24"/>
          <w:szCs w:val="24"/>
        </w:rPr>
        <w:t>4  概述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_Toc27155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  <w:t>）</w:t>
      </w:r>
    </w:p>
    <w:p>
      <w:pPr>
        <w:pStyle w:val="19"/>
        <w:keepNext w:val="0"/>
        <w:keepLines w:val="0"/>
        <w:pageBreakBefore w:val="0"/>
        <w:widowControl w:val="0"/>
        <w:tabs>
          <w:tab w:val="right" w:leader="dot" w:pos="8959"/>
          <w:tab w:val="clear" w:pos="42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instrText xml:space="preserve"> HYPERLINK \l _Toc25421 </w:instrTex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/>
          <w:caps w:val="0"/>
          <w:spacing w:val="0"/>
          <w:position w:val="0"/>
          <w:sz w:val="24"/>
          <w:szCs w:val="24"/>
        </w:rPr>
        <w:t>5  计量特性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_Toc25421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  <w:t>）</w:t>
      </w:r>
    </w:p>
    <w:p>
      <w:pPr>
        <w:pStyle w:val="19"/>
        <w:keepNext w:val="0"/>
        <w:keepLines w:val="0"/>
        <w:pageBreakBefore w:val="0"/>
        <w:widowControl w:val="0"/>
        <w:tabs>
          <w:tab w:val="right" w:leader="dot" w:pos="8959"/>
          <w:tab w:val="clear" w:pos="42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jc w:val="both"/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instrText xml:space="preserve"> HYPERLINK \l _Toc8456 </w:instrTex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/>
          <w:caps w:val="0"/>
          <w:spacing w:val="0"/>
          <w:position w:val="0"/>
          <w:sz w:val="24"/>
          <w:szCs w:val="24"/>
        </w:rPr>
        <w:t>6  校准条件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_Toc8456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  <w:t>）</w:t>
      </w:r>
    </w:p>
    <w:p>
      <w:pPr>
        <w:pStyle w:val="19"/>
        <w:keepNext w:val="0"/>
        <w:keepLines w:val="0"/>
        <w:pageBreakBefore w:val="0"/>
        <w:widowControl w:val="0"/>
        <w:tabs>
          <w:tab w:val="right" w:leader="dot" w:pos="8959"/>
          <w:tab w:val="clear" w:pos="42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jc w:val="both"/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instrText xml:space="preserve"> HYPERLINK \l _Toc5972 </w:instrTex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val="en-US" w:eastAsia="zh-CN"/>
        </w:rPr>
        <w:t>6.1  环境条件</w: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  <w:t>）</w:t>
      </w:r>
    </w:p>
    <w:p>
      <w:pPr>
        <w:pStyle w:val="19"/>
        <w:keepNext w:val="0"/>
        <w:keepLines w:val="0"/>
        <w:pageBreakBefore w:val="0"/>
        <w:widowControl w:val="0"/>
        <w:tabs>
          <w:tab w:val="right" w:leader="dot" w:pos="8959"/>
          <w:tab w:val="clear" w:pos="42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jc w:val="both"/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instrText xml:space="preserve"> HYPERLINK \l _Toc5972 </w:instrTex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t>.2</w: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  <w:t>校准介质</w: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  <w:t>）</w:t>
      </w:r>
    </w:p>
    <w:p>
      <w:pPr>
        <w:pStyle w:val="19"/>
        <w:keepNext w:val="0"/>
        <w:keepLines w:val="0"/>
        <w:pageBreakBefore w:val="0"/>
        <w:widowControl w:val="0"/>
        <w:tabs>
          <w:tab w:val="right" w:leader="dot" w:pos="8959"/>
          <w:tab w:val="clear" w:pos="42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jc w:val="both"/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instrText xml:space="preserve"> HYPERLINK \l _Toc5972 </w:instrTex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val="en-US" w:eastAsia="zh-CN"/>
        </w:rPr>
        <w:t>6.3  测量标准及其他设备</w: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  <w:t>）</w:t>
      </w:r>
    </w:p>
    <w:p>
      <w:pPr>
        <w:pStyle w:val="19"/>
        <w:keepNext w:val="0"/>
        <w:keepLines w:val="0"/>
        <w:pageBreakBefore w:val="0"/>
        <w:widowControl w:val="0"/>
        <w:tabs>
          <w:tab w:val="right" w:leader="dot" w:pos="8959"/>
          <w:tab w:val="clear" w:pos="42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jc w:val="both"/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instrText xml:space="preserve"> HYPERLINK \l _Toc31206 </w:instrTex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t>7  校准项目和校准方法</w: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instrText xml:space="preserve"> PAGEREF _Toc31206 \h </w:instrTex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t>5</w: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  <w:t>）</w:t>
      </w:r>
    </w:p>
    <w:p>
      <w:pPr>
        <w:pStyle w:val="19"/>
        <w:keepNext w:val="0"/>
        <w:keepLines w:val="0"/>
        <w:pageBreakBefore w:val="0"/>
        <w:widowControl w:val="0"/>
        <w:tabs>
          <w:tab w:val="right" w:leader="dot" w:pos="8959"/>
          <w:tab w:val="clear" w:pos="42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jc w:val="both"/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instrText xml:space="preserve"> HYPERLINK \l _Toc5</w:instrTex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val="en-US" w:eastAsia="zh-CN"/>
        </w:rPr>
        <w:instrText xml:space="preserve">9</w:instrTex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instrText xml:space="preserve">72 </w:instrTex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t>7.</w: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val="en-US" w:eastAsia="zh-CN"/>
        </w:rPr>
        <w:t>1  容量相对误差</w: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  <w:t>）</w:t>
      </w:r>
    </w:p>
    <w:p>
      <w:pPr>
        <w:pStyle w:val="19"/>
        <w:keepNext w:val="0"/>
        <w:keepLines w:val="0"/>
        <w:pageBreakBefore w:val="0"/>
        <w:widowControl w:val="0"/>
        <w:tabs>
          <w:tab w:val="right" w:leader="dot" w:pos="8959"/>
          <w:tab w:val="clear" w:pos="42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jc w:val="both"/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instrText xml:space="preserve"> HYPERLINK \l _Toc5972 </w:instrTex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t xml:space="preserve">7.2 </w: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t>容量重复性</w: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instrText xml:space="preserve"> PAGEREF _Toc5972 \h </w:instrTex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t>6</w: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  <w:t>）</w:t>
      </w:r>
    </w:p>
    <w:p>
      <w:pPr>
        <w:pStyle w:val="19"/>
        <w:keepNext w:val="0"/>
        <w:keepLines w:val="0"/>
        <w:pageBreakBefore w:val="0"/>
        <w:widowControl w:val="0"/>
        <w:tabs>
          <w:tab w:val="right" w:leader="dot" w:pos="8959"/>
          <w:tab w:val="clear" w:pos="42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instrText xml:space="preserve"> HYPERLINK \l _Toc15651 </w:instrTex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/>
          <w:caps w:val="0"/>
          <w:spacing w:val="0"/>
          <w:position w:val="0"/>
          <w:sz w:val="24"/>
          <w:szCs w:val="24"/>
        </w:rPr>
        <w:t>8  校准结果表达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_Toc15651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6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  <w:t>）</w:t>
      </w:r>
    </w:p>
    <w:p>
      <w:pPr>
        <w:pStyle w:val="19"/>
        <w:keepNext w:val="0"/>
        <w:keepLines w:val="0"/>
        <w:pageBreakBefore w:val="0"/>
        <w:widowControl w:val="0"/>
        <w:tabs>
          <w:tab w:val="right" w:leader="dot" w:pos="8959"/>
          <w:tab w:val="clear" w:pos="42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instrText xml:space="preserve"> HYPERLINK \l _Toc11998 </w:instrTex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/>
          <w:caps w:val="0"/>
          <w:spacing w:val="0"/>
          <w:position w:val="0"/>
          <w:sz w:val="24"/>
          <w:szCs w:val="24"/>
        </w:rPr>
        <w:t>9  复校时间间隔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_Toc11998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7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  <w:t>）</w:t>
      </w:r>
    </w:p>
    <w:p>
      <w:pPr>
        <w:pStyle w:val="19"/>
        <w:keepNext w:val="0"/>
        <w:keepLines w:val="0"/>
        <w:pageBreakBefore w:val="0"/>
        <w:widowControl w:val="0"/>
        <w:tabs>
          <w:tab w:val="right" w:leader="dot" w:pos="8959"/>
          <w:tab w:val="clear" w:pos="42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instrText xml:space="preserve"> HYPERLINK \l _Toc22506 </w:instrTex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附录A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caps w:val="0"/>
          <w:spacing w:val="0"/>
          <w:position w:val="0"/>
          <w:sz w:val="24"/>
          <w:szCs w:val="24"/>
          <w:lang w:val="en-US" w:eastAsia="zh-CN"/>
        </w:rPr>
        <w:t>微量进样器校准记录格式（推荐性）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_Toc22506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8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  <w:t>）</w:t>
      </w:r>
    </w:p>
    <w:p>
      <w:pPr>
        <w:pStyle w:val="19"/>
        <w:keepNext w:val="0"/>
        <w:keepLines w:val="0"/>
        <w:pageBreakBefore w:val="0"/>
        <w:widowControl w:val="0"/>
        <w:tabs>
          <w:tab w:val="right" w:leader="dot" w:pos="8959"/>
          <w:tab w:val="clear" w:pos="42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instrText xml:space="preserve"> HYPERLINK \l _Toc11342 </w:instrTex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caps w:val="0"/>
          <w:spacing w:val="0"/>
          <w:kern w:val="2"/>
          <w:position w:val="0"/>
          <w:sz w:val="24"/>
          <w:szCs w:val="24"/>
          <w:lang w:val="en-US" w:eastAsia="zh-CN" w:bidi="ar-SA"/>
        </w:rPr>
        <w:t xml:space="preserve">附录B  </w:t>
      </w:r>
      <w:r>
        <w:rPr>
          <w:rFonts w:hint="eastAsia" w:asciiTheme="minorEastAsia" w:hAnsiTheme="minorEastAsia" w:eastAsiaTheme="minorEastAsia" w:cstheme="minorEastAsia"/>
          <w:caps w:val="0"/>
          <w:spacing w:val="0"/>
          <w:position w:val="0"/>
          <w:sz w:val="24"/>
          <w:szCs w:val="24"/>
          <w:lang w:val="en-US" w:eastAsia="zh-CN"/>
        </w:rPr>
        <w:t>微量进样器校准证书内页格式（推荐性）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_Toc11342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9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  <w:t>）</w:t>
      </w:r>
    </w:p>
    <w:p>
      <w:pPr>
        <w:pStyle w:val="19"/>
        <w:keepNext w:val="0"/>
        <w:keepLines w:val="0"/>
        <w:pageBreakBefore w:val="0"/>
        <w:widowControl w:val="0"/>
        <w:tabs>
          <w:tab w:val="right" w:leader="dot" w:pos="8959"/>
          <w:tab w:val="clear" w:pos="42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instrText xml:space="preserve"> HYPERLINK \l _Toc7868 </w:instrTex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caps w:val="0"/>
          <w:spacing w:val="0"/>
          <w:kern w:val="2"/>
          <w:position w:val="0"/>
          <w:sz w:val="24"/>
          <w:szCs w:val="24"/>
          <w:lang w:val="en-US" w:eastAsia="zh-CN" w:bidi="ar-SA"/>
        </w:rPr>
        <w:t xml:space="preserve">附录C  </w:t>
      </w:r>
      <w:r>
        <w:rPr>
          <w:rFonts w:hint="eastAsia" w:asciiTheme="minorEastAsia" w:hAnsiTheme="minorEastAsia" w:eastAsiaTheme="minorEastAsia" w:cstheme="minorEastAsia"/>
          <w:caps w:val="0"/>
          <w:spacing w:val="0"/>
          <w:position w:val="0"/>
          <w:sz w:val="24"/>
          <w:szCs w:val="24"/>
          <w:lang w:val="en-US" w:eastAsia="zh-CN"/>
        </w:rPr>
        <w:t>微量进样器容量测量结果不确定度评定示例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_Toc7868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10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  <w:t>）</w:t>
      </w:r>
    </w:p>
    <w:p>
      <w:pPr>
        <w:pStyle w:val="19"/>
        <w:keepNext w:val="0"/>
        <w:keepLines w:val="0"/>
        <w:pageBreakBefore w:val="0"/>
        <w:widowControl w:val="0"/>
        <w:tabs>
          <w:tab w:val="right" w:leader="dot" w:pos="8959"/>
          <w:tab w:val="clear" w:pos="42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instrText xml:space="preserve"> HYPERLINK \l _Toc22422 </w:instrTex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caps w:val="0"/>
          <w:spacing w:val="0"/>
          <w:position w:val="0"/>
          <w:sz w:val="24"/>
          <w:szCs w:val="24"/>
        </w:rPr>
        <w:t>附录D</w:t>
      </w:r>
      <w:r>
        <w:rPr>
          <w:rFonts w:hint="eastAsia" w:asciiTheme="minorEastAsia" w:hAnsiTheme="minorEastAsia" w:eastAsiaTheme="minorEastAsia" w:cstheme="minorEastAsia"/>
          <w:caps w:val="0"/>
          <w:spacing w:val="0"/>
          <w:position w:val="0"/>
          <w:sz w:val="24"/>
          <w:szCs w:val="24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纯水密度表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_Toc22422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  <w:t>）</w:t>
      </w:r>
    </w:p>
    <w:p>
      <w:pPr>
        <w:pStyle w:val="19"/>
        <w:keepNext w:val="0"/>
        <w:keepLines w:val="0"/>
        <w:pageBreakBefore w:val="0"/>
        <w:widowControl w:val="0"/>
        <w:tabs>
          <w:tab w:val="right" w:leader="dot" w:pos="8959"/>
          <w:tab w:val="clear" w:pos="42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instrText xml:space="preserve"> HYPERLINK \l _Toc1601 </w:instrText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caps w:val="0"/>
          <w:spacing w:val="0"/>
          <w:position w:val="0"/>
          <w:sz w:val="24"/>
          <w:szCs w:val="24"/>
        </w:rPr>
        <w:t>附录E</w:t>
      </w:r>
      <w:r>
        <w:rPr>
          <w:rFonts w:hint="eastAsia" w:asciiTheme="minorEastAsia" w:hAnsiTheme="minorEastAsia" w:eastAsiaTheme="minorEastAsia" w:cstheme="minorEastAsia"/>
          <w:caps w:val="0"/>
          <w:spacing w:val="0"/>
          <w:position w:val="0"/>
          <w:sz w:val="24"/>
          <w:szCs w:val="24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微量进样器衡量法</w:t>
      </w:r>
      <w:r>
        <w:rPr>
          <w:rFonts w:hint="eastAsia" w:asciiTheme="minorEastAsia" w:hAnsiTheme="minorEastAsia" w:eastAsiaTheme="minorEastAsia" w:cstheme="minorEastAsia"/>
          <w:kern w:val="0"/>
          <w:position w:val="-14"/>
          <w:sz w:val="24"/>
          <w:szCs w:val="24"/>
        </w:rPr>
        <w:object>
          <v:shape id="_x0000_i1025" o:spt="75" type="#_x0000_t75" style="height:20pt;width:28pt;" o:ole="t" filled="f" o:preferrelative="t" stroked="f" coordsize="21600,21600">
            <v:path/>
            <v:fill on="f" focussize="0,0"/>
            <v:stroke on="f"/>
            <v:imagedata r:id="rId20" o:title=""/>
            <o:lock v:ext="edit" aspectratio="f"/>
            <w10:wrap type="none"/>
            <w10:anchorlock/>
          </v:shape>
          <o:OLEObject Type="Embed" ProgID="Equation.3" ShapeID="_x0000_i1025" DrawAspect="Content" ObjectID="_1468075726" r:id="rId19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值表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_Toc1601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15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aps w:val="0"/>
          <w:sz w:val="24"/>
          <w:szCs w:val="24"/>
          <w:lang w:eastAsia="zh-CN"/>
        </w:rPr>
        <w:t>）</w:t>
      </w:r>
    </w:p>
    <w:p>
      <w:pPr>
        <w:pStyle w:val="19"/>
        <w:keepNext w:val="0"/>
        <w:keepLines w:val="0"/>
        <w:pageBreakBefore w:val="0"/>
        <w:widowControl w:val="0"/>
        <w:tabs>
          <w:tab w:val="right" w:leader="dot" w:pos="8959"/>
          <w:tab w:val="clear" w:pos="42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textAlignment w:val="center"/>
        <w:rPr>
          <w:rFonts w:hAnsi="Times New Roman" w:eastAsiaTheme="majorEastAsia"/>
          <w:caps w:val="0"/>
        </w:rPr>
      </w:pPr>
      <w:r>
        <w:rPr>
          <w:rFonts w:hAnsi="Times New Roman" w:eastAsiaTheme="majorEastAsia"/>
          <w:caps w:val="0"/>
        </w:rPr>
        <w:fldChar w:fldCharType="end"/>
      </w:r>
    </w:p>
    <w:p>
      <w:pPr>
        <w:rPr>
          <w:rFonts w:eastAsiaTheme="majorEastAsia"/>
          <w:bCs/>
        </w:rPr>
      </w:pPr>
      <w:r>
        <w:rPr>
          <w:rFonts w:eastAsiaTheme="majorEastAsia"/>
          <w:bCs/>
        </w:rPr>
        <w:br w:type="page"/>
      </w:r>
    </w:p>
    <w:p>
      <w:pPr>
        <w:pStyle w:val="38"/>
        <w:keepNext/>
        <w:keepLines/>
        <w:pageBreakBefore w:val="0"/>
        <w:widowControl/>
        <w:tabs>
          <w:tab w:val="left" w:pos="10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469" w:beforeLines="150" w:line="360" w:lineRule="auto"/>
        <w:jc w:val="center"/>
        <w:textAlignment w:val="center"/>
        <w:outlineLvl w:val="0"/>
        <w:rPr>
          <w:rStyle w:val="32"/>
          <w:rFonts w:hint="default" w:ascii="Times New Roman" w:hAnsi="Times New Roman" w:eastAsia="黑体" w:cs="Times New Roman"/>
          <w:b w:val="0"/>
          <w:bCs w:val="0"/>
          <w:caps w:val="0"/>
          <w:color w:val="auto"/>
          <w:spacing w:val="170"/>
          <w:kern w:val="0"/>
          <w:position w:val="0"/>
          <w:sz w:val="18"/>
          <w:szCs w:val="18"/>
        </w:rPr>
      </w:pPr>
      <w:bookmarkStart w:id="4" w:name="_Toc11422"/>
    </w:p>
    <w:p>
      <w:pPr>
        <w:pStyle w:val="38"/>
        <w:keepNext/>
        <w:keepLines/>
        <w:pageBreakBefore w:val="0"/>
        <w:widowControl/>
        <w:tabs>
          <w:tab w:val="left" w:pos="10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469" w:beforeLines="150" w:line="360" w:lineRule="auto"/>
        <w:jc w:val="center"/>
        <w:textAlignment w:val="center"/>
        <w:outlineLvl w:val="0"/>
        <w:rPr>
          <w:rStyle w:val="32"/>
          <w:rFonts w:hint="default" w:ascii="Times New Roman" w:hAnsi="Times New Roman" w:cs="Times New Roman"/>
          <w:b w:val="0"/>
          <w:bCs w:val="0"/>
          <w:caps w:val="0"/>
          <w:color w:val="auto"/>
          <w:spacing w:val="0"/>
          <w:position w:val="0"/>
        </w:rPr>
      </w:pPr>
      <w:bookmarkStart w:id="5" w:name="_Toc1399"/>
      <w:r>
        <w:rPr>
          <w:rStyle w:val="32"/>
          <w:rFonts w:hint="default" w:ascii="Times New Roman" w:hAnsi="Times New Roman" w:eastAsia="黑体" w:cs="Times New Roman"/>
          <w:b w:val="0"/>
          <w:bCs w:val="0"/>
          <w:caps w:val="0"/>
          <w:color w:val="auto"/>
          <w:spacing w:val="170"/>
          <w:kern w:val="0"/>
          <w:position w:val="0"/>
          <w:sz w:val="44"/>
        </w:rPr>
        <w:t>引</w:t>
      </w:r>
      <w:r>
        <w:rPr>
          <w:rStyle w:val="32"/>
          <w:rFonts w:hint="eastAsia" w:eastAsia="黑体" w:cs="Times New Roman"/>
          <w:b w:val="0"/>
          <w:bCs w:val="0"/>
          <w:caps w:val="0"/>
          <w:color w:val="auto"/>
          <w:spacing w:val="170"/>
          <w:kern w:val="0"/>
          <w:position w:val="0"/>
          <w:sz w:val="44"/>
          <w:lang w:val="en-US" w:eastAsia="zh-CN"/>
        </w:rPr>
        <w:t xml:space="preserve"> </w:t>
      </w:r>
      <w:r>
        <w:rPr>
          <w:rStyle w:val="32"/>
          <w:rFonts w:hint="default" w:ascii="Times New Roman" w:hAnsi="Times New Roman" w:eastAsia="黑体" w:cs="Times New Roman"/>
          <w:b w:val="0"/>
          <w:bCs w:val="0"/>
          <w:caps w:val="0"/>
          <w:color w:val="auto"/>
          <w:spacing w:val="170"/>
          <w:kern w:val="0"/>
          <w:position w:val="0"/>
          <w:sz w:val="44"/>
        </w:rPr>
        <w:t>言</w:t>
      </w:r>
      <w:bookmarkEnd w:id="4"/>
      <w:bookmarkEnd w:id="5"/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JJF 1071</w:t>
      </w:r>
      <w:r>
        <w:rPr>
          <w:rFonts w:hint="eastAsia" w:ascii="宋体" w:hAnsi="宋体" w:cs="宋体"/>
          <w:sz w:val="24"/>
          <w:lang w:eastAsia="zh-CN"/>
        </w:rPr>
        <w:t>—</w:t>
      </w:r>
      <w:r>
        <w:rPr>
          <w:rFonts w:hint="eastAsia" w:ascii="宋体" w:hAnsi="宋体" w:cs="宋体"/>
          <w:sz w:val="24"/>
        </w:rPr>
        <w:t>2010《国家计量校准规范编写规则》、JJF 1001</w:t>
      </w:r>
      <w:r>
        <w:rPr>
          <w:rFonts w:hint="eastAsia" w:ascii="宋体" w:hAnsi="宋体" w:cs="宋体"/>
          <w:sz w:val="24"/>
          <w:lang w:eastAsia="zh-CN"/>
        </w:rPr>
        <w:t>—</w:t>
      </w:r>
      <w:r>
        <w:rPr>
          <w:rFonts w:hint="eastAsia" w:ascii="宋体" w:hAnsi="宋体" w:cs="宋体"/>
          <w:sz w:val="24"/>
        </w:rPr>
        <w:t>2011《通用计量术语及定义》、JJF1</w:t>
      </w:r>
      <w:r>
        <w:rPr>
          <w:rFonts w:ascii="宋体" w:hAnsi="宋体"/>
          <w:sz w:val="24"/>
        </w:rPr>
        <w:t>059</w:t>
      </w:r>
      <w:r>
        <w:rPr>
          <w:rFonts w:hint="eastAsia" w:ascii="宋体" w:hAnsi="宋体" w:cs="宋体"/>
          <w:sz w:val="24"/>
        </w:rPr>
        <w:t>.1</w:t>
      </w:r>
      <w:r>
        <w:rPr>
          <w:rFonts w:hint="eastAsia" w:ascii="宋体" w:hAnsi="宋体" w:cs="宋体"/>
          <w:sz w:val="24"/>
          <w:lang w:eastAsia="zh-CN"/>
        </w:rPr>
        <w:t>—</w:t>
      </w:r>
      <w:r>
        <w:rPr>
          <w:rFonts w:hint="eastAsia" w:ascii="宋体" w:hAnsi="宋体" w:cs="宋体"/>
          <w:sz w:val="24"/>
          <w:lang w:val="en-US" w:eastAsia="zh-CN"/>
        </w:rPr>
        <w:t>2</w:t>
      </w:r>
      <w:r>
        <w:rPr>
          <w:rFonts w:hint="eastAsia" w:ascii="宋体" w:hAnsi="宋体" w:cs="宋体"/>
          <w:sz w:val="24"/>
        </w:rPr>
        <w:t>012《测量不确定度评定与表示》共同构成</w:t>
      </w:r>
      <w:r>
        <w:rPr>
          <w:rFonts w:hint="eastAsia" w:ascii="宋体" w:hAnsi="宋体" w:cs="宋体"/>
          <w:sz w:val="24"/>
          <w:lang w:val="en-US" w:eastAsia="zh-CN"/>
        </w:rPr>
        <w:t>支撑</w:t>
      </w:r>
      <w:r>
        <w:rPr>
          <w:rFonts w:hint="eastAsia" w:ascii="宋体" w:hAnsi="宋体" w:cs="宋体"/>
          <w:sz w:val="24"/>
        </w:rPr>
        <w:t>本规范制定工作的基础性系列规范。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本规范为首次发布。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textAlignment w:val="center"/>
        <w:rPr>
          <w:rStyle w:val="32"/>
          <w:sz w:val="24"/>
          <w:szCs w:val="22"/>
        </w:rPr>
        <w:sectPr>
          <w:footerReference r:id="rId10" w:type="default"/>
          <w:pgSz w:w="11906" w:h="16838"/>
          <w:pgMar w:top="1701" w:right="1417" w:bottom="1247" w:left="1417" w:header="1247" w:footer="851" w:gutter="113"/>
          <w:pgNumType w:fmt="upperRoman" w:start="1"/>
          <w:cols w:space="720" w:num="1"/>
          <w:docGrid w:type="lines" w:linePitch="312" w:charSpace="0"/>
        </w:sectPr>
      </w:pPr>
    </w:p>
    <w:p>
      <w:pPr>
        <w:spacing w:line="360" w:lineRule="auto"/>
        <w:jc w:val="center"/>
        <w:textAlignment w:val="center"/>
        <w:rPr>
          <w:rFonts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w:t>微量进样器</w:t>
      </w:r>
      <w:r>
        <w:rPr>
          <w:rFonts w:eastAsia="黑体"/>
          <w:sz w:val="32"/>
          <w:szCs w:val="32"/>
        </w:rPr>
        <w:t>校准规范</w:t>
      </w:r>
    </w:p>
    <w:p>
      <w:pPr>
        <w:pStyle w:val="2"/>
        <w:pageBreakBefore w:val="0"/>
        <w:kinsoku/>
        <w:wordWrap/>
        <w:overflowPunct/>
        <w:topLinePunct w:val="0"/>
        <w:bidi w:val="0"/>
        <w:spacing w:line="360" w:lineRule="auto"/>
        <w:jc w:val="both"/>
        <w:textAlignment w:val="center"/>
        <w:rPr>
          <w:rFonts w:hint="eastAsia" w:ascii="黑体" w:hAnsi="黑体" w:eastAsia="黑体" w:cs="黑体"/>
          <w:bCs/>
          <w:caps w:val="0"/>
          <w:color w:val="auto"/>
          <w:spacing w:val="0"/>
          <w:position w:val="0"/>
          <w:sz w:val="24"/>
        </w:rPr>
      </w:pPr>
      <w:bookmarkStart w:id="6" w:name="_Toc1080"/>
      <w:r>
        <w:rPr>
          <w:rFonts w:hint="eastAsia" w:ascii="黑体" w:hAnsi="黑体" w:eastAsia="黑体" w:cs="黑体"/>
          <w:bCs/>
          <w:caps w:val="0"/>
          <w:color w:val="auto"/>
          <w:spacing w:val="0"/>
          <w:position w:val="0"/>
          <w:sz w:val="24"/>
        </w:rPr>
        <w:t>1  范围</w:t>
      </w:r>
      <w:bookmarkEnd w:id="6"/>
    </w:p>
    <w:p>
      <w:pPr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center"/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本规范适用于标称容量为（0.5～1 000）μL的微量进样器的校准。</w:t>
      </w:r>
    </w:p>
    <w:p>
      <w:pPr>
        <w:pStyle w:val="2"/>
        <w:pageBreakBefore w:val="0"/>
        <w:kinsoku/>
        <w:wordWrap/>
        <w:overflowPunct/>
        <w:topLinePunct w:val="0"/>
        <w:bidi w:val="0"/>
        <w:spacing w:line="360" w:lineRule="auto"/>
        <w:jc w:val="both"/>
        <w:textAlignment w:val="center"/>
        <w:rPr>
          <w:rFonts w:hint="eastAsia" w:ascii="黑体" w:hAnsi="黑体" w:eastAsia="黑体" w:cs="黑体"/>
          <w:bCs/>
          <w:caps w:val="0"/>
          <w:color w:val="auto"/>
          <w:spacing w:val="0"/>
          <w:position w:val="0"/>
          <w:sz w:val="24"/>
        </w:rPr>
      </w:pPr>
      <w:bookmarkStart w:id="7" w:name="_Toc12778"/>
      <w:r>
        <w:rPr>
          <w:rFonts w:hint="eastAsia" w:ascii="黑体" w:hAnsi="黑体" w:eastAsia="黑体" w:cs="黑体"/>
          <w:bCs/>
          <w:caps w:val="0"/>
          <w:color w:val="auto"/>
          <w:spacing w:val="0"/>
          <w:position w:val="0"/>
          <w:sz w:val="24"/>
        </w:rPr>
        <w:t>2  引用文件</w:t>
      </w:r>
      <w:bookmarkEnd w:id="7"/>
    </w:p>
    <w:p>
      <w:pPr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center"/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本规范引用了下列文件：</w:t>
      </w:r>
    </w:p>
    <w:p>
      <w:pPr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center"/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JJG 196—2006  常用玻璃量器</w:t>
      </w:r>
    </w:p>
    <w:p>
      <w:pPr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center"/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JJG 646—2006  移液器</w:t>
      </w:r>
    </w:p>
    <w:p>
      <w:pPr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center"/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GB/T 6682—2008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分析实验室用水规格和试验方法</w:t>
      </w:r>
    </w:p>
    <w:p>
      <w:pPr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center"/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凡是注日期的引用文件，仅注日期的版本适用于本规范；凡是不注日期的引用文件，其最新版本（包括所有的修改单）适用于本规范。</w:t>
      </w:r>
    </w:p>
    <w:p>
      <w:pPr>
        <w:pStyle w:val="2"/>
        <w:pageBreakBefore w:val="0"/>
        <w:kinsoku/>
        <w:wordWrap/>
        <w:overflowPunct/>
        <w:topLinePunct w:val="0"/>
        <w:bidi w:val="0"/>
        <w:spacing w:line="360" w:lineRule="auto"/>
        <w:jc w:val="both"/>
        <w:textAlignment w:val="center"/>
        <w:rPr>
          <w:rFonts w:hint="eastAsia" w:ascii="黑体" w:hAnsi="黑体" w:eastAsia="黑体" w:cs="黑体"/>
          <w:bCs/>
          <w:caps w:val="0"/>
          <w:color w:val="auto"/>
          <w:spacing w:val="0"/>
          <w:position w:val="0"/>
          <w:sz w:val="24"/>
        </w:rPr>
      </w:pPr>
      <w:bookmarkStart w:id="8" w:name="_Toc8101"/>
      <w:r>
        <w:rPr>
          <w:rFonts w:hint="eastAsia" w:ascii="黑体" w:hAnsi="黑体" w:eastAsia="黑体" w:cs="黑体"/>
          <w:bCs/>
          <w:caps w:val="0"/>
          <w:color w:val="auto"/>
          <w:spacing w:val="0"/>
          <w:position w:val="0"/>
          <w:sz w:val="24"/>
        </w:rPr>
        <w:t>3  术语</w:t>
      </w:r>
      <w:bookmarkEnd w:id="8"/>
    </w:p>
    <w:p>
      <w:pPr>
        <w:pStyle w:val="13"/>
        <w:pageBreakBefore w:val="0"/>
        <w:kinsoku/>
        <w:wordWrap/>
        <w:overflowPunct/>
        <w:topLinePunct w:val="0"/>
        <w:bidi w:val="0"/>
        <w:spacing w:line="360" w:lineRule="auto"/>
        <w:ind w:left="-199" w:leftChars="-95" w:right="25" w:rightChars="12" w:firstLine="196" w:firstLineChars="82"/>
        <w:textAlignment w:val="center"/>
        <w:outlineLvl w:val="1"/>
        <w:rPr>
          <w:rFonts w:hint="eastAsia" w:asciiTheme="minorEastAsia" w:hAnsiTheme="minorEastAsia" w:eastAsiaTheme="minorEastAsia" w:cstheme="minorEastAsia"/>
          <w:caps w:val="0"/>
          <w:color w:val="auto"/>
          <w:spacing w:val="0"/>
          <w:position w:val="0"/>
          <w:sz w:val="24"/>
          <w:szCs w:val="24"/>
          <w:lang w:val="en-US" w:eastAsia="zh-CN"/>
        </w:rPr>
      </w:pPr>
      <w:bookmarkStart w:id="9" w:name="_Toc21493"/>
      <w:r>
        <w:rPr>
          <w:rFonts w:hint="eastAsia" w:asciiTheme="minorEastAsia" w:hAnsiTheme="minorEastAsia" w:eastAsiaTheme="minorEastAsia" w:cstheme="minorEastAsia"/>
          <w:caps w:val="0"/>
          <w:color w:val="auto"/>
          <w:spacing w:val="0"/>
          <w:position w:val="0"/>
          <w:sz w:val="24"/>
          <w:szCs w:val="24"/>
          <w:lang w:val="en-US" w:eastAsia="zh-CN"/>
        </w:rPr>
        <w:t>3.1  进样器  sampling syringe</w:t>
      </w:r>
      <w:bookmarkEnd w:id="9"/>
    </w:p>
    <w:p>
      <w:pPr>
        <w:pStyle w:val="13"/>
        <w:pageBreakBefore w:val="0"/>
        <w:kinsoku/>
        <w:wordWrap/>
        <w:overflowPunct/>
        <w:topLinePunct w:val="0"/>
        <w:bidi w:val="0"/>
        <w:spacing w:line="360" w:lineRule="auto"/>
        <w:ind w:right="25" w:rightChars="12" w:firstLine="480" w:firstLineChars="200"/>
        <w:textAlignment w:val="center"/>
        <w:outlineLvl w:val="9"/>
        <w:rPr>
          <w:rFonts w:hint="eastAsia" w:asciiTheme="minorEastAsia" w:hAnsiTheme="minorEastAsia" w:eastAsiaTheme="minorEastAsia" w:cstheme="minorEastAsia"/>
          <w:caps w:val="0"/>
          <w:color w:val="auto"/>
          <w:spacing w:val="0"/>
          <w:position w:val="0"/>
          <w:sz w:val="24"/>
          <w:szCs w:val="24"/>
          <w:lang w:val="en-US" w:eastAsia="zh-CN"/>
        </w:rPr>
      </w:pPr>
      <w:bookmarkStart w:id="10" w:name="_Toc22706"/>
      <w:r>
        <w:rPr>
          <w:rFonts w:hint="eastAsia" w:asciiTheme="minorEastAsia" w:hAnsiTheme="minorEastAsia" w:eastAsiaTheme="minorEastAsia" w:cstheme="minorEastAsia"/>
          <w:caps w:val="0"/>
          <w:color w:val="auto"/>
          <w:spacing w:val="0"/>
          <w:position w:val="0"/>
          <w:sz w:val="24"/>
          <w:szCs w:val="24"/>
          <w:lang w:val="en-US" w:eastAsia="zh-CN"/>
        </w:rPr>
        <w:t>由外套、芯子和针尖等主要部件组成的计量器具，该产品用于吸取定量样品并注入色谱分析仪、水分测定仪等仪器，对各种物质进行定性定量分析。</w:t>
      </w:r>
      <w:bookmarkEnd w:id="10"/>
    </w:p>
    <w:p>
      <w:pPr>
        <w:pStyle w:val="13"/>
        <w:pageBreakBefore w:val="0"/>
        <w:kinsoku/>
        <w:wordWrap/>
        <w:overflowPunct/>
        <w:topLinePunct w:val="0"/>
        <w:bidi w:val="0"/>
        <w:spacing w:line="360" w:lineRule="auto"/>
        <w:ind w:right="25" w:rightChars="12"/>
        <w:textAlignment w:val="center"/>
        <w:outlineLvl w:val="1"/>
        <w:rPr>
          <w:rFonts w:hint="eastAsia" w:asciiTheme="minorEastAsia" w:hAnsiTheme="minorEastAsia" w:eastAsiaTheme="minorEastAsia" w:cstheme="minorEastAsia"/>
          <w:caps w:val="0"/>
          <w:color w:val="auto"/>
          <w:spacing w:val="0"/>
          <w:position w:val="0"/>
          <w:sz w:val="24"/>
          <w:szCs w:val="24"/>
          <w:lang w:val="en-US" w:eastAsia="zh-CN"/>
        </w:rPr>
      </w:pPr>
      <w:bookmarkStart w:id="11" w:name="_Toc22240"/>
      <w:r>
        <w:rPr>
          <w:rFonts w:hint="eastAsia" w:asciiTheme="minorEastAsia" w:hAnsiTheme="minorEastAsia" w:eastAsiaTheme="minorEastAsia" w:cstheme="minorEastAsia"/>
          <w:caps w:val="0"/>
          <w:color w:val="auto"/>
          <w:spacing w:val="0"/>
          <w:position w:val="0"/>
          <w:sz w:val="24"/>
          <w:szCs w:val="24"/>
          <w:lang w:val="en-US" w:eastAsia="zh-CN"/>
        </w:rPr>
        <w:t>3.2  微量进样器  micro sampling syringe</w:t>
      </w:r>
      <w:bookmarkEnd w:id="11"/>
    </w:p>
    <w:p>
      <w:pPr>
        <w:pStyle w:val="13"/>
        <w:pageBreakBefore w:val="0"/>
        <w:kinsoku/>
        <w:wordWrap/>
        <w:overflowPunct/>
        <w:topLinePunct w:val="0"/>
        <w:bidi w:val="0"/>
        <w:spacing w:line="360" w:lineRule="auto"/>
        <w:ind w:right="25" w:rightChars="12" w:firstLine="480" w:firstLineChars="200"/>
        <w:textAlignment w:val="center"/>
        <w:outlineLvl w:val="9"/>
        <w:rPr>
          <w:rFonts w:hint="eastAsia" w:asciiTheme="minorEastAsia" w:hAnsiTheme="minorEastAsia" w:eastAsiaTheme="minorEastAsia" w:cstheme="minorEastAsia"/>
          <w:caps w:val="0"/>
          <w:color w:val="auto"/>
          <w:spacing w:val="0"/>
          <w:position w:val="0"/>
          <w:sz w:val="24"/>
          <w:szCs w:val="24"/>
          <w:lang w:val="en-US" w:eastAsia="zh-CN"/>
        </w:rPr>
      </w:pPr>
      <w:bookmarkStart w:id="12" w:name="_Toc8913"/>
      <w:r>
        <w:rPr>
          <w:rFonts w:hint="eastAsia" w:asciiTheme="minorEastAsia" w:hAnsiTheme="minorEastAsia" w:eastAsiaTheme="minorEastAsia" w:cstheme="minorEastAsia"/>
          <w:caps w:val="0"/>
          <w:color w:val="auto"/>
          <w:spacing w:val="0"/>
          <w:position w:val="0"/>
          <w:sz w:val="24"/>
          <w:szCs w:val="24"/>
          <w:lang w:val="en-US" w:eastAsia="zh-CN"/>
        </w:rPr>
        <w:t>以微升为单位的进样器，供微量分析时注入试样用。</w:t>
      </w:r>
      <w:bookmarkEnd w:id="12"/>
    </w:p>
    <w:p>
      <w:pPr>
        <w:pStyle w:val="13"/>
        <w:pageBreakBefore w:val="0"/>
        <w:kinsoku/>
        <w:wordWrap/>
        <w:overflowPunct/>
        <w:topLinePunct w:val="0"/>
        <w:bidi w:val="0"/>
        <w:spacing w:line="360" w:lineRule="auto"/>
        <w:ind w:right="25" w:rightChars="12"/>
        <w:textAlignment w:val="center"/>
        <w:outlineLvl w:val="1"/>
        <w:rPr>
          <w:rFonts w:hint="eastAsia" w:asciiTheme="minorEastAsia" w:hAnsiTheme="minorEastAsia" w:eastAsiaTheme="minorEastAsia" w:cstheme="minorEastAsia"/>
          <w:caps w:val="0"/>
          <w:color w:val="auto"/>
          <w:spacing w:val="0"/>
          <w:position w:val="0"/>
          <w:sz w:val="24"/>
          <w:szCs w:val="24"/>
          <w:lang w:val="en-US" w:eastAsia="zh-CN"/>
        </w:rPr>
      </w:pPr>
      <w:bookmarkStart w:id="13" w:name="_Toc26752"/>
      <w:r>
        <w:rPr>
          <w:rFonts w:hint="eastAsia" w:asciiTheme="minorEastAsia" w:hAnsiTheme="minorEastAsia" w:eastAsiaTheme="minorEastAsia" w:cstheme="minorEastAsia"/>
          <w:caps w:val="0"/>
          <w:color w:val="auto"/>
          <w:spacing w:val="0"/>
          <w:position w:val="0"/>
          <w:sz w:val="24"/>
          <w:szCs w:val="24"/>
          <w:lang w:val="en-US" w:eastAsia="zh-CN"/>
        </w:rPr>
        <w:t>3.3  无存液微量进样器  micro sampling syringe（non needl dead volume）</w:t>
      </w:r>
      <w:bookmarkEnd w:id="13"/>
    </w:p>
    <w:p>
      <w:pPr>
        <w:pStyle w:val="13"/>
        <w:pageBreakBefore w:val="0"/>
        <w:kinsoku/>
        <w:wordWrap/>
        <w:overflowPunct/>
        <w:topLinePunct w:val="0"/>
        <w:bidi w:val="0"/>
        <w:spacing w:line="360" w:lineRule="auto"/>
        <w:ind w:right="25" w:rightChars="12" w:firstLine="480" w:firstLineChars="200"/>
        <w:textAlignment w:val="center"/>
        <w:outlineLvl w:val="9"/>
        <w:rPr>
          <w:rFonts w:hint="eastAsia" w:asciiTheme="minorEastAsia" w:hAnsiTheme="minorEastAsia" w:eastAsiaTheme="minorEastAsia" w:cstheme="minorEastAsia"/>
          <w:caps w:val="0"/>
          <w:color w:val="auto"/>
          <w:spacing w:val="0"/>
          <w:position w:val="0"/>
          <w:sz w:val="24"/>
          <w:szCs w:val="24"/>
          <w:lang w:val="en-US" w:eastAsia="zh-CN"/>
        </w:rPr>
      </w:pPr>
      <w:bookmarkStart w:id="14" w:name="_Toc25633"/>
      <w:r>
        <w:rPr>
          <w:rFonts w:hint="eastAsia" w:asciiTheme="minorEastAsia" w:hAnsiTheme="minorEastAsia" w:eastAsiaTheme="minorEastAsia" w:cstheme="minorEastAsia"/>
          <w:caps w:val="0"/>
          <w:color w:val="auto"/>
          <w:spacing w:val="0"/>
          <w:position w:val="0"/>
          <w:sz w:val="24"/>
          <w:szCs w:val="24"/>
          <w:lang w:val="en-US" w:eastAsia="zh-CN"/>
        </w:rPr>
        <w:t>在常温下按常规方法抽取一定量的样品，再将大套管（芯子在小套管内，芯子的进、退由大套管带动）推至零位线后，针尖管内无残留样品的进样器。</w:t>
      </w:r>
      <w:bookmarkEnd w:id="14"/>
    </w:p>
    <w:p>
      <w:pPr>
        <w:pStyle w:val="13"/>
        <w:pageBreakBefore w:val="0"/>
        <w:kinsoku/>
        <w:wordWrap/>
        <w:overflowPunct/>
        <w:topLinePunct w:val="0"/>
        <w:bidi w:val="0"/>
        <w:spacing w:line="360" w:lineRule="auto"/>
        <w:ind w:right="25" w:rightChars="12"/>
        <w:textAlignment w:val="center"/>
        <w:outlineLvl w:val="1"/>
        <w:rPr>
          <w:rFonts w:hint="eastAsia" w:asciiTheme="minorEastAsia" w:hAnsiTheme="minorEastAsia" w:eastAsiaTheme="minorEastAsia" w:cstheme="minorEastAsia"/>
          <w:caps w:val="0"/>
          <w:color w:val="auto"/>
          <w:spacing w:val="0"/>
          <w:position w:val="0"/>
          <w:sz w:val="24"/>
          <w:szCs w:val="24"/>
          <w:lang w:val="en-US" w:eastAsia="zh-CN"/>
        </w:rPr>
      </w:pPr>
      <w:bookmarkStart w:id="15" w:name="_Toc28580"/>
      <w:r>
        <w:rPr>
          <w:rFonts w:hint="eastAsia" w:asciiTheme="minorEastAsia" w:hAnsiTheme="minorEastAsia" w:eastAsiaTheme="minorEastAsia" w:cstheme="minorEastAsia"/>
          <w:caps w:val="0"/>
          <w:color w:val="auto"/>
          <w:spacing w:val="0"/>
          <w:position w:val="0"/>
          <w:sz w:val="24"/>
          <w:szCs w:val="24"/>
          <w:lang w:val="en-US" w:eastAsia="zh-CN"/>
        </w:rPr>
        <w:t>3.4  有存液微量进样器  micro sampling syringe（needl dead volume）</w:t>
      </w:r>
      <w:bookmarkEnd w:id="15"/>
    </w:p>
    <w:p>
      <w:pPr>
        <w:pStyle w:val="13"/>
        <w:pageBreakBefore w:val="0"/>
        <w:kinsoku/>
        <w:wordWrap/>
        <w:overflowPunct/>
        <w:topLinePunct w:val="0"/>
        <w:bidi w:val="0"/>
        <w:spacing w:line="360" w:lineRule="auto"/>
        <w:ind w:right="25" w:rightChars="12" w:firstLine="480" w:firstLineChars="200"/>
        <w:textAlignment w:val="center"/>
        <w:outlineLvl w:val="9"/>
        <w:rPr>
          <w:rFonts w:hint="eastAsia" w:asciiTheme="minorEastAsia" w:hAnsiTheme="minorEastAsia" w:eastAsiaTheme="minorEastAsia" w:cstheme="minorEastAsia"/>
          <w:caps w:val="0"/>
          <w:color w:val="auto"/>
          <w:spacing w:val="0"/>
          <w:position w:val="0"/>
          <w:sz w:val="24"/>
          <w:szCs w:val="24"/>
          <w:lang w:val="en-US" w:eastAsia="zh-CN"/>
        </w:rPr>
      </w:pPr>
      <w:bookmarkStart w:id="16" w:name="_Toc25756"/>
      <w:r>
        <w:rPr>
          <w:rFonts w:hint="eastAsia" w:asciiTheme="minorEastAsia" w:hAnsiTheme="minorEastAsia" w:eastAsiaTheme="minorEastAsia" w:cstheme="minorEastAsia"/>
          <w:caps w:val="0"/>
          <w:color w:val="auto"/>
          <w:spacing w:val="0"/>
          <w:position w:val="0"/>
          <w:sz w:val="24"/>
          <w:szCs w:val="24"/>
          <w:lang w:val="en-US" w:eastAsia="zh-CN"/>
        </w:rPr>
        <w:t>在常温下按常规方法抽取一定量的样品，再将芯子推至零位线后，针尖管内有固定量残留样品的进样器。</w:t>
      </w:r>
      <w:bookmarkEnd w:id="16"/>
    </w:p>
    <w:p>
      <w:pPr>
        <w:pStyle w:val="13"/>
        <w:pageBreakBefore w:val="0"/>
        <w:kinsoku/>
        <w:wordWrap/>
        <w:overflowPunct/>
        <w:topLinePunct w:val="0"/>
        <w:bidi w:val="0"/>
        <w:spacing w:line="360" w:lineRule="auto"/>
        <w:ind w:right="25" w:rightChars="12"/>
        <w:textAlignment w:val="center"/>
        <w:outlineLvl w:val="1"/>
        <w:rPr>
          <w:rFonts w:hint="eastAsia" w:asciiTheme="minorEastAsia" w:hAnsiTheme="minorEastAsia" w:eastAsiaTheme="minorEastAsia" w:cstheme="minorEastAsia"/>
          <w:caps w:val="0"/>
          <w:color w:val="auto"/>
          <w:spacing w:val="0"/>
          <w:position w:val="0"/>
          <w:sz w:val="24"/>
          <w:szCs w:val="24"/>
          <w:lang w:val="en-US" w:eastAsia="zh-CN"/>
        </w:rPr>
      </w:pPr>
      <w:bookmarkStart w:id="17" w:name="_Toc18208"/>
      <w:r>
        <w:rPr>
          <w:rFonts w:hint="eastAsia" w:asciiTheme="minorEastAsia" w:hAnsiTheme="minorEastAsia" w:eastAsiaTheme="minorEastAsia" w:cstheme="minorEastAsia"/>
          <w:caps w:val="0"/>
          <w:color w:val="auto"/>
          <w:spacing w:val="0"/>
          <w:position w:val="0"/>
          <w:sz w:val="24"/>
          <w:szCs w:val="24"/>
          <w:lang w:val="en-US" w:eastAsia="zh-CN"/>
        </w:rPr>
        <w:t>3.5  气密性微量进样器  gastight sampling syringe</w:t>
      </w:r>
      <w:bookmarkEnd w:id="17"/>
      <w:r>
        <w:rPr>
          <w:rFonts w:hint="eastAsia" w:asciiTheme="minorEastAsia" w:hAnsiTheme="minorEastAsia" w:eastAsiaTheme="minorEastAsia" w:cstheme="minorEastAsia"/>
          <w:caps w:val="0"/>
          <w:color w:val="auto"/>
          <w:spacing w:val="0"/>
          <w:position w:val="0"/>
          <w:sz w:val="24"/>
          <w:szCs w:val="24"/>
          <w:lang w:val="en-US" w:eastAsia="zh-CN"/>
        </w:rPr>
        <w:t xml:space="preserve"> </w:t>
      </w:r>
    </w:p>
    <w:p>
      <w:pPr>
        <w:pStyle w:val="13"/>
        <w:pageBreakBefore w:val="0"/>
        <w:kinsoku/>
        <w:wordWrap/>
        <w:overflowPunct/>
        <w:topLinePunct w:val="0"/>
        <w:bidi w:val="0"/>
        <w:spacing w:line="360" w:lineRule="auto"/>
        <w:ind w:right="25" w:rightChars="12" w:firstLine="480" w:firstLineChars="200"/>
        <w:textAlignment w:val="center"/>
        <w:outlineLvl w:val="9"/>
        <w:rPr>
          <w:rFonts w:hint="eastAsia" w:asciiTheme="minorEastAsia" w:hAnsiTheme="minorEastAsia" w:eastAsiaTheme="minorEastAsia" w:cstheme="minorEastAsia"/>
          <w:caps w:val="0"/>
          <w:color w:val="auto"/>
          <w:spacing w:val="0"/>
          <w:position w:val="0"/>
          <w:sz w:val="24"/>
          <w:szCs w:val="24"/>
          <w:lang w:val="en-US" w:eastAsia="zh-CN"/>
        </w:rPr>
      </w:pPr>
      <w:bookmarkStart w:id="18" w:name="_Toc894"/>
      <w:r>
        <w:rPr>
          <w:rFonts w:hint="eastAsia" w:asciiTheme="minorEastAsia" w:hAnsiTheme="minorEastAsia" w:eastAsiaTheme="minorEastAsia" w:cstheme="minorEastAsia"/>
          <w:caps w:val="0"/>
          <w:color w:val="auto"/>
          <w:spacing w:val="0"/>
          <w:position w:val="0"/>
          <w:sz w:val="24"/>
          <w:szCs w:val="24"/>
          <w:lang w:val="en-US" w:eastAsia="zh-CN"/>
        </w:rPr>
        <w:t>用于在常温常态下易挥发液体样品的进样器。</w:t>
      </w:r>
      <w:bookmarkEnd w:id="18"/>
    </w:p>
    <w:p>
      <w:pPr>
        <w:pStyle w:val="2"/>
        <w:pageBreakBefore w:val="0"/>
        <w:kinsoku/>
        <w:wordWrap/>
        <w:overflowPunct/>
        <w:topLinePunct w:val="0"/>
        <w:bidi w:val="0"/>
        <w:spacing w:line="360" w:lineRule="auto"/>
        <w:jc w:val="both"/>
        <w:textAlignment w:val="center"/>
        <w:rPr>
          <w:rFonts w:hint="eastAsia" w:ascii="黑体" w:hAnsi="黑体" w:eastAsia="黑体" w:cs="黑体"/>
          <w:bCs/>
          <w:caps w:val="0"/>
          <w:color w:val="auto"/>
          <w:spacing w:val="0"/>
          <w:position w:val="0"/>
          <w:sz w:val="24"/>
        </w:rPr>
      </w:pPr>
      <w:bookmarkStart w:id="19" w:name="_Toc27155"/>
      <w:r>
        <w:rPr>
          <w:rFonts w:hint="eastAsia" w:ascii="黑体" w:hAnsi="黑体" w:eastAsia="黑体" w:cs="黑体"/>
          <w:bCs/>
          <w:caps w:val="0"/>
          <w:color w:val="auto"/>
          <w:spacing w:val="0"/>
          <w:position w:val="0"/>
          <w:sz w:val="24"/>
        </w:rPr>
        <w:t>4  概述</w:t>
      </w:r>
      <w:bookmarkEnd w:id="19"/>
    </w:p>
    <w:p>
      <w:pPr>
        <w:bidi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微量进样器为量出式量器，按其结构设计原理可分为无存液微量进样器（如图1）、有存液微量进样器（如图2）和气密性微量进样器（如图3），不同用途的微量进样器，其针尖结构不同，主要有刃口、平口、圆口等形状。微量进样器利用空气排放原理进行工作，以活塞在套管内移动的距离确定容量，主要用于实验室吸取定量样品。</w:t>
      </w:r>
    </w:p>
    <w:p>
      <w:pPr>
        <w:spacing w:line="360" w:lineRule="auto"/>
        <w:jc w:val="both"/>
        <w:textAlignment w:val="center"/>
      </w:pPr>
    </w:p>
    <w:p>
      <w:pPr>
        <w:spacing w:line="360" w:lineRule="auto"/>
        <w:jc w:val="center"/>
        <w:textAlignment w:val="center"/>
      </w:pPr>
      <w:r>
        <w:drawing>
          <wp:inline distT="0" distB="0" distL="114300" distR="114300">
            <wp:extent cx="5012055" cy="1950085"/>
            <wp:effectExtent l="0" t="0" r="17145" b="12065"/>
            <wp:docPr id="1" name="图片 6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9"/>
                    <pic:cNvPicPr>
                      <a:picLocks noChangeAspect="true"/>
                    </pic:cNvPicPr>
                  </pic:nvPicPr>
                  <pic:blipFill>
                    <a:blip r:embed="rId21"/>
                    <a:srcRect b="24527"/>
                    <a:stretch>
                      <a:fillRect/>
                    </a:stretch>
                  </pic:blipFill>
                  <pic:spPr>
                    <a:xfrm>
                      <a:off x="0" y="0"/>
                      <a:ext cx="501205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textAlignment w:val="center"/>
        <w:rPr>
          <w:rFonts w:hint="eastAsia" w:ascii="黑体" w:hAnsi="黑体" w:eastAsia="黑体" w:cs="黑体"/>
        </w:rPr>
      </w:pPr>
      <w:r>
        <w:rPr>
          <w:rFonts w:hint="eastAsia" w:ascii="宋体" w:hAnsi="宋体" w:eastAsia="宋体" w:cs="宋体"/>
        </w:rPr>
        <w:t>图1</w:t>
      </w:r>
      <w:r>
        <w:rPr>
          <w:rFonts w:hint="eastAsia" w:ascii="宋体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t>无存液微量进样器示意图</w:t>
      </w:r>
    </w:p>
    <w:p>
      <w:pPr>
        <w:numPr>
          <w:ilvl w:val="0"/>
          <w:numId w:val="0"/>
        </w:numPr>
        <w:spacing w:line="360" w:lineRule="auto"/>
        <w:jc w:val="center"/>
        <w:textAlignment w:val="center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1</w:t>
      </w:r>
      <w:r>
        <w:rPr>
          <w:rFonts w:hint="eastAsia" w:ascii="宋体" w:hAnsi="宋体" w:eastAsia="宋体" w:cs="宋体"/>
          <w:sz w:val="18"/>
          <w:szCs w:val="18"/>
        </w:rPr>
        <w:t>-针尖;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18"/>
          <w:szCs w:val="18"/>
        </w:rPr>
        <w:t>2-针尖座;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18"/>
          <w:szCs w:val="18"/>
        </w:rPr>
        <w:t>3-密封垫圈;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18"/>
          <w:szCs w:val="18"/>
        </w:rPr>
        <w:t>4-限位管;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18"/>
          <w:szCs w:val="18"/>
        </w:rPr>
        <w:t>5-外套;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18"/>
          <w:szCs w:val="18"/>
        </w:rPr>
        <w:t>6-外套边;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18"/>
          <w:szCs w:val="18"/>
        </w:rPr>
        <w:t>7-大套管;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18"/>
          <w:szCs w:val="18"/>
        </w:rPr>
        <w:t>8-小套管;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18"/>
          <w:szCs w:val="18"/>
        </w:rPr>
        <w:t>9-芯子;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18"/>
          <w:szCs w:val="18"/>
        </w:rPr>
        <w:t>10-银焊粒;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 xml:space="preserve"> </w:t>
      </w:r>
    </w:p>
    <w:p>
      <w:pPr>
        <w:numPr>
          <w:ilvl w:val="0"/>
          <w:numId w:val="0"/>
        </w:numPr>
        <w:spacing w:line="360" w:lineRule="auto"/>
        <w:jc w:val="center"/>
        <w:textAlignment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18"/>
          <w:szCs w:val="18"/>
        </w:rPr>
        <w:t>11-按手</w:t>
      </w:r>
    </w:p>
    <w:p>
      <w:pPr>
        <w:spacing w:line="360" w:lineRule="auto"/>
        <w:jc w:val="both"/>
        <w:textAlignment w:val="center"/>
      </w:pPr>
    </w:p>
    <w:p>
      <w:pPr>
        <w:spacing w:line="360" w:lineRule="auto"/>
        <w:jc w:val="center"/>
        <w:textAlignment w:val="center"/>
      </w:pPr>
      <w:r>
        <w:drawing>
          <wp:inline distT="0" distB="0" distL="114300" distR="114300">
            <wp:extent cx="5205730" cy="1246505"/>
            <wp:effectExtent l="0" t="0" r="13970" b="10795"/>
            <wp:docPr id="2" name="图片 7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0"/>
                    <pic:cNvPicPr>
                      <a:picLocks noChangeAspect="true"/>
                    </pic:cNvPicPr>
                  </pic:nvPicPr>
                  <pic:blipFill>
                    <a:blip r:embed="rId22"/>
                    <a:srcRect b="42026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150" w:firstLineChars="1500"/>
        <w:jc w:val="both"/>
        <w:textAlignment w:val="center"/>
        <w:rPr>
          <w:rFonts w:hint="eastAsia" w:ascii="黑体" w:hAnsi="黑体" w:eastAsia="黑体" w:cs="黑体"/>
        </w:rPr>
      </w:pPr>
      <w:r>
        <w:rPr>
          <w:rFonts w:hint="eastAsia" w:ascii="宋体" w:hAnsi="宋体" w:eastAsia="宋体" w:cs="宋体"/>
        </w:rPr>
        <w:t>图2</w:t>
      </w:r>
      <w:r>
        <w:rPr>
          <w:rFonts w:hint="eastAsia" w:ascii="宋体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t>有存液微量进样器示意图</w:t>
      </w:r>
    </w:p>
    <w:p>
      <w:pPr>
        <w:spacing w:line="360" w:lineRule="auto"/>
        <w:jc w:val="center"/>
        <w:textAlignment w:val="center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</w:rPr>
        <w:t>1-针尖;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18"/>
          <w:szCs w:val="18"/>
        </w:rPr>
        <w:t>2-针套管;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18"/>
          <w:szCs w:val="18"/>
        </w:rPr>
        <w:t>3-容量零线;主分度线;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18"/>
          <w:szCs w:val="18"/>
        </w:rPr>
        <w:t>4-容量中分度线;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18"/>
          <w:szCs w:val="18"/>
        </w:rPr>
        <w:t>5-容量次分度线;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18"/>
          <w:szCs w:val="18"/>
        </w:rPr>
        <w:t>6-容量终线;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18"/>
          <w:szCs w:val="18"/>
        </w:rPr>
        <w:t>7-外套;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18"/>
          <w:szCs w:val="18"/>
        </w:rPr>
        <w:t>8-外套边;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 xml:space="preserve"> </w:t>
      </w:r>
    </w:p>
    <w:p>
      <w:pPr>
        <w:spacing w:line="360" w:lineRule="auto"/>
        <w:jc w:val="center"/>
        <w:textAlignment w:val="center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9-芯子;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18"/>
          <w:szCs w:val="18"/>
        </w:rPr>
        <w:t>10-按手</w:t>
      </w:r>
    </w:p>
    <w:p>
      <w:pPr>
        <w:spacing w:line="360" w:lineRule="auto"/>
        <w:jc w:val="center"/>
        <w:textAlignment w:val="center"/>
      </w:pPr>
    </w:p>
    <w:p>
      <w:pPr>
        <w:jc w:val="center"/>
        <w:textAlignment w:val="center"/>
        <w:rPr>
          <w:sz w:val="15"/>
          <w:szCs w:val="15"/>
        </w:rPr>
      </w:pPr>
    </w:p>
    <w:p>
      <w:pPr>
        <w:pStyle w:val="10"/>
        <w:adjustRightInd w:val="0"/>
        <w:spacing w:after="0" w:line="360" w:lineRule="auto"/>
        <w:ind w:firstLine="480"/>
        <w:jc w:val="center"/>
        <w:outlineLvl w:val="0"/>
      </w:pPr>
      <w:bookmarkStart w:id="20" w:name="_Toc19704"/>
      <w:r>
        <w:drawing>
          <wp:inline distT="0" distB="0" distL="114300" distR="114300">
            <wp:extent cx="4933950" cy="1346200"/>
            <wp:effectExtent l="0" t="0" r="0" b="6350"/>
            <wp:docPr id="12" name="图片 7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1"/>
                    <pic:cNvPicPr>
                      <a:picLocks noChangeAspect="true"/>
                    </pic:cNvPicPr>
                  </pic:nvPicPr>
                  <pic:blipFill>
                    <a:blip r:embed="rId23"/>
                    <a:srcRect b="31985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0"/>
    </w:p>
    <w:p>
      <w:pPr>
        <w:pStyle w:val="10"/>
        <w:adjustRightInd w:val="0"/>
        <w:spacing w:after="0" w:line="360" w:lineRule="auto"/>
        <w:ind w:firstLine="3204" w:firstLineChars="1526"/>
        <w:jc w:val="both"/>
        <w:outlineLvl w:val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图3</w:t>
      </w:r>
      <w:r>
        <w:rPr>
          <w:rFonts w:hint="eastAsia" w:ascii="宋体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t>气密性微量进样器示意图</w:t>
      </w:r>
    </w:p>
    <w:p>
      <w:pPr>
        <w:pStyle w:val="10"/>
        <w:adjustRightInd w:val="0"/>
        <w:spacing w:after="0" w:line="360" w:lineRule="auto"/>
        <w:ind w:firstLine="1080" w:firstLineChars="600"/>
        <w:jc w:val="both"/>
        <w:outlineLvl w:val="0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1-针尖;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18"/>
          <w:szCs w:val="18"/>
        </w:rPr>
        <w:t>2-滑套;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18"/>
          <w:szCs w:val="18"/>
        </w:rPr>
        <w:t>3-弹簧;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18"/>
          <w:szCs w:val="18"/>
        </w:rPr>
        <w:t>4-密封垫圈;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18"/>
          <w:szCs w:val="18"/>
        </w:rPr>
        <w:t>5-外套;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18"/>
          <w:szCs w:val="18"/>
        </w:rPr>
        <w:t>6-外套边;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18"/>
          <w:szCs w:val="18"/>
        </w:rPr>
        <w:t>7-空芯螺钉;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18"/>
          <w:szCs w:val="18"/>
        </w:rPr>
        <w:t>8-芯子;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18"/>
          <w:szCs w:val="18"/>
        </w:rPr>
        <w:t>9-按手</w:t>
      </w:r>
    </w:p>
    <w:p>
      <w:pPr>
        <w:spacing w:line="360" w:lineRule="auto"/>
        <w:ind w:firstLine="480" w:firstLineChars="200"/>
        <w:jc w:val="left"/>
        <w:textAlignment w:val="center"/>
        <w:rPr>
          <w:kern w:val="0"/>
          <w:sz w:val="24"/>
        </w:rPr>
      </w:pPr>
    </w:p>
    <w:p>
      <w:pPr>
        <w:pStyle w:val="2"/>
        <w:pageBreakBefore w:val="0"/>
        <w:kinsoku/>
        <w:wordWrap/>
        <w:overflowPunct/>
        <w:topLinePunct w:val="0"/>
        <w:bidi w:val="0"/>
        <w:spacing w:line="360" w:lineRule="auto"/>
        <w:jc w:val="both"/>
        <w:textAlignment w:val="center"/>
        <w:rPr>
          <w:rFonts w:hint="eastAsia" w:ascii="黑体" w:hAnsi="黑体" w:eastAsia="黑体" w:cs="黑体"/>
          <w:bCs/>
          <w:caps w:val="0"/>
          <w:color w:val="auto"/>
          <w:spacing w:val="0"/>
          <w:position w:val="0"/>
          <w:sz w:val="24"/>
        </w:rPr>
      </w:pPr>
      <w:bookmarkStart w:id="21" w:name="_Toc25421"/>
      <w:r>
        <w:rPr>
          <w:rFonts w:hint="eastAsia" w:ascii="黑体" w:hAnsi="黑体" w:eastAsia="黑体" w:cs="黑体"/>
          <w:bCs/>
          <w:caps w:val="0"/>
          <w:color w:val="auto"/>
          <w:spacing w:val="0"/>
          <w:position w:val="0"/>
          <w:sz w:val="24"/>
        </w:rPr>
        <w:t>5  计量特性</w:t>
      </w:r>
      <w:bookmarkEnd w:id="21"/>
    </w:p>
    <w:p>
      <w:pPr>
        <w:pStyle w:val="10"/>
        <w:spacing w:before="271" w:line="360" w:lineRule="auto"/>
        <w:ind w:firstLine="464"/>
        <w:jc w:val="left"/>
        <w:rPr>
          <w:rFonts w:hint="eastAsia" w:ascii="Times New Roman" w:hAnsi="Times New Roman" w:eastAsia="宋体" w:cs="Times New Roman"/>
          <w:color w:val="auto"/>
          <w:kern w:val="2"/>
          <w:sz w:val="24"/>
          <w:szCs w:val="24"/>
          <w:lang w:val="en-US" w:eastAsia="zh-CN" w:bidi="ar-SA"/>
        </w:rPr>
      </w:pPr>
      <w:bookmarkStart w:id="22" w:name="_Toc6957"/>
      <w:r>
        <w:rPr>
          <w:rFonts w:hint="eastAsia" w:ascii="Times New Roman" w:hAnsi="Times New Roman" w:eastAsia="宋体" w:cs="Times New Roman"/>
          <w:color w:val="auto"/>
          <w:kern w:val="2"/>
          <w:sz w:val="24"/>
          <w:szCs w:val="24"/>
          <w:lang w:val="en-US" w:eastAsia="zh-CN" w:bidi="ar-SA"/>
        </w:rPr>
        <w:t>微量进样器在标准温度20℃时，其容量相对误差和重复性技术指标见表1。</w:t>
      </w:r>
    </w:p>
    <w:p>
      <w:pPr>
        <w:spacing w:line="360" w:lineRule="auto"/>
        <w:ind w:left="0" w:leftChars="0" w:firstLine="0" w:firstLineChars="0"/>
        <w:jc w:val="center"/>
        <w:rPr>
          <w:rFonts w:hint="eastAsia" w:ascii="黑体" w:hAnsi="黑体" w:eastAsia="黑体" w:cs="黑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表1  微量进样器主要技术指标</w:t>
      </w:r>
    </w:p>
    <w:p>
      <w:pPr>
        <w:spacing w:line="59" w:lineRule="exact"/>
      </w:pPr>
    </w:p>
    <w:tbl>
      <w:tblPr>
        <w:tblStyle w:val="41"/>
        <w:tblpPr w:leftFromText="180" w:rightFromText="180" w:vertAnchor="text" w:horzAnchor="page" w:tblpXSpec="center" w:tblpY="1"/>
        <w:tblOverlap w:val="never"/>
        <w:tblW w:w="8471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61"/>
        <w:gridCol w:w="2495"/>
        <w:gridCol w:w="2408"/>
        <w:gridCol w:w="180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1" w:hRule="atLeast"/>
          <w:jc w:val="center"/>
        </w:trPr>
        <w:tc>
          <w:tcPr>
            <w:tcW w:w="1761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标称容量</w:t>
            </w:r>
          </w:p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μL</w:t>
            </w:r>
          </w:p>
        </w:tc>
        <w:tc>
          <w:tcPr>
            <w:tcW w:w="2495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校准点</w:t>
            </w:r>
          </w:p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μL</w:t>
            </w:r>
          </w:p>
        </w:tc>
        <w:tc>
          <w:tcPr>
            <w:tcW w:w="2408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容量相对误差</w:t>
            </w:r>
          </w:p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（%）</w:t>
            </w:r>
          </w:p>
        </w:tc>
        <w:tc>
          <w:tcPr>
            <w:tcW w:w="1807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重复性</w:t>
            </w:r>
          </w:p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（%）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  <w:jc w:val="center"/>
        </w:trPr>
        <w:tc>
          <w:tcPr>
            <w:tcW w:w="1761" w:type="dxa"/>
            <w:vMerge w:val="restart"/>
            <w:tcBorders>
              <w:bottom w:val="nil"/>
            </w:tcBorders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0.5</w:t>
            </w:r>
          </w:p>
        </w:tc>
        <w:tc>
          <w:tcPr>
            <w:tcW w:w="2495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0.1</w:t>
            </w:r>
          </w:p>
        </w:tc>
        <w:tc>
          <w:tcPr>
            <w:tcW w:w="2408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±25.0</w:t>
            </w:r>
          </w:p>
        </w:tc>
        <w:tc>
          <w:tcPr>
            <w:tcW w:w="1807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≤10.0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  <w:jc w:val="center"/>
        </w:trPr>
        <w:tc>
          <w:tcPr>
            <w:tcW w:w="1761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2495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0.3</w:t>
            </w:r>
          </w:p>
        </w:tc>
        <w:tc>
          <w:tcPr>
            <w:tcW w:w="2408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±20.0</w:t>
            </w:r>
          </w:p>
        </w:tc>
        <w:tc>
          <w:tcPr>
            <w:tcW w:w="1807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≤10.0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  <w:jc w:val="center"/>
        </w:trPr>
        <w:tc>
          <w:tcPr>
            <w:tcW w:w="1761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2495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0.5</w:t>
            </w:r>
          </w:p>
        </w:tc>
        <w:tc>
          <w:tcPr>
            <w:tcW w:w="2408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±20.0</w:t>
            </w:r>
          </w:p>
        </w:tc>
        <w:tc>
          <w:tcPr>
            <w:tcW w:w="1807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≤10.0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  <w:jc w:val="center"/>
        </w:trPr>
        <w:tc>
          <w:tcPr>
            <w:tcW w:w="1761" w:type="dxa"/>
            <w:vMerge w:val="restart"/>
            <w:tcBorders>
              <w:bottom w:val="nil"/>
            </w:tcBorders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</w:p>
        </w:tc>
        <w:tc>
          <w:tcPr>
            <w:tcW w:w="2495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0.2</w:t>
            </w:r>
          </w:p>
        </w:tc>
        <w:tc>
          <w:tcPr>
            <w:tcW w:w="2408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±20.0</w:t>
            </w:r>
          </w:p>
        </w:tc>
        <w:tc>
          <w:tcPr>
            <w:tcW w:w="1807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≤10.0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  <w:jc w:val="center"/>
        </w:trPr>
        <w:tc>
          <w:tcPr>
            <w:tcW w:w="1761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2495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0.6</w:t>
            </w:r>
          </w:p>
        </w:tc>
        <w:tc>
          <w:tcPr>
            <w:tcW w:w="2408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±20.0</w:t>
            </w:r>
          </w:p>
        </w:tc>
        <w:tc>
          <w:tcPr>
            <w:tcW w:w="1807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≤10.0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  <w:jc w:val="center"/>
        </w:trPr>
        <w:tc>
          <w:tcPr>
            <w:tcW w:w="1761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2495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</w:p>
        </w:tc>
        <w:tc>
          <w:tcPr>
            <w:tcW w:w="2408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±12.0</w:t>
            </w:r>
          </w:p>
        </w:tc>
        <w:tc>
          <w:tcPr>
            <w:tcW w:w="1807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≤6.0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  <w:jc w:val="center"/>
        </w:trPr>
        <w:tc>
          <w:tcPr>
            <w:tcW w:w="1761" w:type="dxa"/>
            <w:vMerge w:val="restart"/>
            <w:tcBorders>
              <w:bottom w:val="nil"/>
            </w:tcBorders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</w:t>
            </w:r>
          </w:p>
        </w:tc>
        <w:tc>
          <w:tcPr>
            <w:tcW w:w="2495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</w:p>
        </w:tc>
        <w:tc>
          <w:tcPr>
            <w:tcW w:w="2408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±12.0</w:t>
            </w:r>
          </w:p>
        </w:tc>
        <w:tc>
          <w:tcPr>
            <w:tcW w:w="1807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≤6.0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  <w:jc w:val="center"/>
        </w:trPr>
        <w:tc>
          <w:tcPr>
            <w:tcW w:w="1761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2495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</w:t>
            </w:r>
          </w:p>
        </w:tc>
        <w:tc>
          <w:tcPr>
            <w:tcW w:w="2408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±12.0</w:t>
            </w:r>
          </w:p>
        </w:tc>
        <w:tc>
          <w:tcPr>
            <w:tcW w:w="1807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≤6.0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  <w:jc w:val="center"/>
        </w:trPr>
        <w:tc>
          <w:tcPr>
            <w:tcW w:w="1761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2495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</w:t>
            </w:r>
          </w:p>
        </w:tc>
        <w:tc>
          <w:tcPr>
            <w:tcW w:w="2408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±8.0</w:t>
            </w:r>
          </w:p>
        </w:tc>
        <w:tc>
          <w:tcPr>
            <w:tcW w:w="1807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≤4.0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  <w:jc w:val="center"/>
        </w:trPr>
        <w:tc>
          <w:tcPr>
            <w:tcW w:w="1761" w:type="dxa"/>
            <w:vMerge w:val="restart"/>
            <w:tcBorders>
              <w:bottom w:val="nil"/>
            </w:tcBorders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10</w:t>
            </w:r>
          </w:p>
        </w:tc>
        <w:tc>
          <w:tcPr>
            <w:tcW w:w="2495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</w:t>
            </w:r>
          </w:p>
        </w:tc>
        <w:tc>
          <w:tcPr>
            <w:tcW w:w="2408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±12.0</w:t>
            </w:r>
          </w:p>
        </w:tc>
        <w:tc>
          <w:tcPr>
            <w:tcW w:w="1807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≤6.0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  <w:jc w:val="center"/>
        </w:trPr>
        <w:tc>
          <w:tcPr>
            <w:tcW w:w="1761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2495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6</w:t>
            </w:r>
          </w:p>
        </w:tc>
        <w:tc>
          <w:tcPr>
            <w:tcW w:w="2408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±8.0</w:t>
            </w:r>
          </w:p>
        </w:tc>
        <w:tc>
          <w:tcPr>
            <w:tcW w:w="1807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≤4.0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  <w:jc w:val="center"/>
        </w:trPr>
        <w:tc>
          <w:tcPr>
            <w:tcW w:w="1761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2495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10</w:t>
            </w:r>
          </w:p>
        </w:tc>
        <w:tc>
          <w:tcPr>
            <w:tcW w:w="2408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±8.0</w:t>
            </w:r>
          </w:p>
        </w:tc>
        <w:tc>
          <w:tcPr>
            <w:tcW w:w="1807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≤4.0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  <w:jc w:val="center"/>
        </w:trPr>
        <w:tc>
          <w:tcPr>
            <w:tcW w:w="1761" w:type="dxa"/>
            <w:vMerge w:val="restart"/>
            <w:tcBorders>
              <w:bottom w:val="nil"/>
            </w:tcBorders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15</w:t>
            </w:r>
          </w:p>
        </w:tc>
        <w:tc>
          <w:tcPr>
            <w:tcW w:w="2495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</w:t>
            </w:r>
          </w:p>
        </w:tc>
        <w:tc>
          <w:tcPr>
            <w:tcW w:w="2408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±8.0</w:t>
            </w:r>
          </w:p>
        </w:tc>
        <w:tc>
          <w:tcPr>
            <w:tcW w:w="1807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≤4.0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  <w:jc w:val="center"/>
        </w:trPr>
        <w:tc>
          <w:tcPr>
            <w:tcW w:w="1761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2495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10</w:t>
            </w:r>
          </w:p>
        </w:tc>
        <w:tc>
          <w:tcPr>
            <w:tcW w:w="2408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±8.0</w:t>
            </w:r>
          </w:p>
        </w:tc>
        <w:tc>
          <w:tcPr>
            <w:tcW w:w="1807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≤4.0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  <w:jc w:val="center"/>
        </w:trPr>
        <w:tc>
          <w:tcPr>
            <w:tcW w:w="1761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2495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15</w:t>
            </w:r>
          </w:p>
        </w:tc>
        <w:tc>
          <w:tcPr>
            <w:tcW w:w="2408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±4.0</w:t>
            </w:r>
          </w:p>
        </w:tc>
        <w:tc>
          <w:tcPr>
            <w:tcW w:w="1807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≤3.0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  <w:jc w:val="center"/>
        </w:trPr>
        <w:tc>
          <w:tcPr>
            <w:tcW w:w="1761" w:type="dxa"/>
            <w:vMerge w:val="restart"/>
            <w:tcBorders>
              <w:bottom w:val="nil"/>
            </w:tcBorders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25</w:t>
            </w:r>
          </w:p>
        </w:tc>
        <w:tc>
          <w:tcPr>
            <w:tcW w:w="2495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</w:t>
            </w:r>
          </w:p>
        </w:tc>
        <w:tc>
          <w:tcPr>
            <w:tcW w:w="2408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±8.0</w:t>
            </w:r>
          </w:p>
        </w:tc>
        <w:tc>
          <w:tcPr>
            <w:tcW w:w="1807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≤4.0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  <w:jc w:val="center"/>
        </w:trPr>
        <w:tc>
          <w:tcPr>
            <w:tcW w:w="1761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2495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15</w:t>
            </w:r>
          </w:p>
        </w:tc>
        <w:tc>
          <w:tcPr>
            <w:tcW w:w="2408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±4.0</w:t>
            </w:r>
          </w:p>
        </w:tc>
        <w:tc>
          <w:tcPr>
            <w:tcW w:w="1807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≤3.0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  <w:jc w:val="center"/>
        </w:trPr>
        <w:tc>
          <w:tcPr>
            <w:tcW w:w="1761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2495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25</w:t>
            </w:r>
          </w:p>
        </w:tc>
        <w:tc>
          <w:tcPr>
            <w:tcW w:w="2408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±4.0</w:t>
            </w:r>
          </w:p>
        </w:tc>
        <w:tc>
          <w:tcPr>
            <w:tcW w:w="1807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≤2.0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  <w:jc w:val="center"/>
        </w:trPr>
        <w:tc>
          <w:tcPr>
            <w:tcW w:w="1761" w:type="dxa"/>
            <w:vMerge w:val="restart"/>
            <w:tcBorders>
              <w:bottom w:val="nil"/>
            </w:tcBorders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50</w:t>
            </w:r>
          </w:p>
        </w:tc>
        <w:tc>
          <w:tcPr>
            <w:tcW w:w="2495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10</w:t>
            </w:r>
          </w:p>
        </w:tc>
        <w:tc>
          <w:tcPr>
            <w:tcW w:w="2408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±8.0</w:t>
            </w:r>
          </w:p>
        </w:tc>
        <w:tc>
          <w:tcPr>
            <w:tcW w:w="1807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≤4.0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  <w:jc w:val="center"/>
        </w:trPr>
        <w:tc>
          <w:tcPr>
            <w:tcW w:w="1761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2495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30</w:t>
            </w:r>
          </w:p>
        </w:tc>
        <w:tc>
          <w:tcPr>
            <w:tcW w:w="2408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±4.0</w:t>
            </w:r>
          </w:p>
        </w:tc>
        <w:tc>
          <w:tcPr>
            <w:tcW w:w="1807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≤2.0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  <w:jc w:val="center"/>
        </w:trPr>
        <w:tc>
          <w:tcPr>
            <w:tcW w:w="1761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2495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50</w:t>
            </w:r>
          </w:p>
        </w:tc>
        <w:tc>
          <w:tcPr>
            <w:tcW w:w="2408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±3.0</w:t>
            </w:r>
          </w:p>
        </w:tc>
        <w:tc>
          <w:tcPr>
            <w:tcW w:w="1807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≤1.5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  <w:jc w:val="center"/>
        </w:trPr>
        <w:tc>
          <w:tcPr>
            <w:tcW w:w="1761" w:type="dxa"/>
            <w:vMerge w:val="restart"/>
            <w:tcBorders>
              <w:bottom w:val="nil"/>
            </w:tcBorders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00</w:t>
            </w:r>
          </w:p>
        </w:tc>
        <w:tc>
          <w:tcPr>
            <w:tcW w:w="2495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20</w:t>
            </w:r>
          </w:p>
        </w:tc>
        <w:tc>
          <w:tcPr>
            <w:tcW w:w="2408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±4.0</w:t>
            </w:r>
          </w:p>
        </w:tc>
        <w:tc>
          <w:tcPr>
            <w:tcW w:w="1807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≤3.0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  <w:jc w:val="center"/>
        </w:trPr>
        <w:tc>
          <w:tcPr>
            <w:tcW w:w="1761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2495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60</w:t>
            </w:r>
          </w:p>
        </w:tc>
        <w:tc>
          <w:tcPr>
            <w:tcW w:w="2408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±3.0</w:t>
            </w:r>
          </w:p>
        </w:tc>
        <w:tc>
          <w:tcPr>
            <w:tcW w:w="1807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≤1.5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  <w:jc w:val="center"/>
        </w:trPr>
        <w:tc>
          <w:tcPr>
            <w:tcW w:w="1761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2495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100</w:t>
            </w:r>
          </w:p>
        </w:tc>
        <w:tc>
          <w:tcPr>
            <w:tcW w:w="2408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±2.0</w:t>
            </w:r>
          </w:p>
        </w:tc>
        <w:tc>
          <w:tcPr>
            <w:tcW w:w="1807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≤1.0</w:t>
            </w:r>
          </w:p>
        </w:tc>
      </w:tr>
    </w:tbl>
    <w:p>
      <w:pPr>
        <w:spacing w:line="59" w:lineRule="exact"/>
      </w:pPr>
    </w:p>
    <w:p>
      <w:pPr>
        <w:pStyle w:val="33"/>
        <w:spacing w:line="360" w:lineRule="auto"/>
        <w:ind w:firstLine="360" w:firstLineChars="200"/>
        <w:textAlignment w:val="center"/>
        <w:rPr>
          <w:rFonts w:ascii="Times New Roman" w:eastAsia="仿宋" w:cs="Times New Roman"/>
          <w:color w:val="auto"/>
          <w:sz w:val="18"/>
          <w:szCs w:val="18"/>
        </w:rPr>
      </w:pPr>
    </w:p>
    <w:p>
      <w:pPr>
        <w:rPr>
          <w:rFonts w:ascii="黑体" w:hAnsi="黑体" w:eastAsia="黑体" w:cs="黑体"/>
          <w:spacing w:val="7"/>
          <w:sz w:val="20"/>
          <w:szCs w:val="20"/>
        </w:rPr>
      </w:pPr>
      <w:r>
        <w:rPr>
          <w:rFonts w:ascii="黑体" w:hAnsi="黑体" w:eastAsia="黑体" w:cs="黑体"/>
          <w:spacing w:val="7"/>
          <w:sz w:val="20"/>
          <w:szCs w:val="20"/>
        </w:rPr>
        <w:br w:type="page"/>
      </w:r>
    </w:p>
    <w:p>
      <w:pPr>
        <w:jc w:val="center"/>
        <w:rPr>
          <w:rFonts w:ascii="黑体" w:hAnsi="黑体" w:eastAsia="黑体" w:cs="黑体"/>
          <w:szCs w:val="21"/>
        </w:rPr>
      </w:pPr>
      <w:r>
        <w:rPr>
          <w:rFonts w:hint="eastAsia" w:ascii="黑体" w:hAnsi="黑体" w:eastAsia="黑体" w:cs="黑体"/>
          <w:szCs w:val="21"/>
        </w:rPr>
        <w:t>表1</w:t>
      </w:r>
      <w:r>
        <w:rPr>
          <w:rFonts w:hint="eastAsia" w:ascii="黑体" w:hAnsi="黑体" w:eastAsia="黑体" w:cs="黑体"/>
          <w:szCs w:val="21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Cs w:val="21"/>
        </w:rPr>
        <w:t>（续）</w:t>
      </w:r>
    </w:p>
    <w:tbl>
      <w:tblPr>
        <w:tblStyle w:val="41"/>
        <w:tblpPr w:leftFromText="180" w:rightFromText="180" w:vertAnchor="text" w:horzAnchor="page" w:tblpXSpec="center" w:tblpY="56"/>
        <w:tblOverlap w:val="never"/>
        <w:tblW w:w="8398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5"/>
        <w:gridCol w:w="2282"/>
        <w:gridCol w:w="2766"/>
        <w:gridCol w:w="171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  <w:jc w:val="center"/>
        </w:trPr>
        <w:tc>
          <w:tcPr>
            <w:tcW w:w="1635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标称容量</w:t>
            </w:r>
          </w:p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μL</w:t>
            </w:r>
          </w:p>
        </w:tc>
        <w:tc>
          <w:tcPr>
            <w:tcW w:w="2282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校准点</w:t>
            </w:r>
          </w:p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μL</w:t>
            </w:r>
          </w:p>
        </w:tc>
        <w:tc>
          <w:tcPr>
            <w:tcW w:w="2766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容量相对误差</w:t>
            </w:r>
          </w:p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（%）</w:t>
            </w:r>
          </w:p>
        </w:tc>
        <w:tc>
          <w:tcPr>
            <w:tcW w:w="1715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重复性</w:t>
            </w:r>
          </w:p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（%）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  <w:jc w:val="center"/>
        </w:trPr>
        <w:tc>
          <w:tcPr>
            <w:tcW w:w="1635" w:type="dxa"/>
            <w:vMerge w:val="restart"/>
            <w:tcBorders>
              <w:bottom w:val="nil"/>
            </w:tcBorders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250</w:t>
            </w:r>
          </w:p>
        </w:tc>
        <w:tc>
          <w:tcPr>
            <w:tcW w:w="2282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50</w:t>
            </w:r>
          </w:p>
        </w:tc>
        <w:tc>
          <w:tcPr>
            <w:tcW w:w="2766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±3.0</w:t>
            </w:r>
          </w:p>
        </w:tc>
        <w:tc>
          <w:tcPr>
            <w:tcW w:w="1715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≤1.5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  <w:jc w:val="center"/>
        </w:trPr>
        <w:tc>
          <w:tcPr>
            <w:tcW w:w="1635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2282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150</w:t>
            </w:r>
          </w:p>
        </w:tc>
        <w:tc>
          <w:tcPr>
            <w:tcW w:w="2766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±2.0</w:t>
            </w:r>
          </w:p>
        </w:tc>
        <w:tc>
          <w:tcPr>
            <w:tcW w:w="1715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≤1.0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  <w:jc w:val="center"/>
        </w:trPr>
        <w:tc>
          <w:tcPr>
            <w:tcW w:w="1635" w:type="dxa"/>
            <w:vMerge w:val="continue"/>
            <w:tcBorders>
              <w:top w:val="nil"/>
            </w:tcBorders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2282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250</w:t>
            </w:r>
          </w:p>
        </w:tc>
        <w:tc>
          <w:tcPr>
            <w:tcW w:w="2766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±2.0</w:t>
            </w:r>
          </w:p>
        </w:tc>
        <w:tc>
          <w:tcPr>
            <w:tcW w:w="1715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≤1.0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  <w:jc w:val="center"/>
        </w:trPr>
        <w:tc>
          <w:tcPr>
            <w:tcW w:w="1635" w:type="dxa"/>
            <w:vMerge w:val="restart"/>
            <w:tcBorders>
              <w:bottom w:val="nil"/>
            </w:tcBorders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500</w:t>
            </w:r>
          </w:p>
        </w:tc>
        <w:tc>
          <w:tcPr>
            <w:tcW w:w="2282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100</w:t>
            </w:r>
          </w:p>
        </w:tc>
        <w:tc>
          <w:tcPr>
            <w:tcW w:w="2766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±2.0</w:t>
            </w:r>
          </w:p>
        </w:tc>
        <w:tc>
          <w:tcPr>
            <w:tcW w:w="1715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≤1.0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  <w:jc w:val="center"/>
        </w:trPr>
        <w:tc>
          <w:tcPr>
            <w:tcW w:w="1635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2282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300</w:t>
            </w:r>
          </w:p>
        </w:tc>
        <w:tc>
          <w:tcPr>
            <w:tcW w:w="2766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±2.0</w:t>
            </w:r>
          </w:p>
        </w:tc>
        <w:tc>
          <w:tcPr>
            <w:tcW w:w="1715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≤1.0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1635" w:type="dxa"/>
            <w:vMerge w:val="continue"/>
            <w:tcBorders>
              <w:top w:val="nil"/>
            </w:tcBorders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2282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500</w:t>
            </w:r>
          </w:p>
        </w:tc>
        <w:tc>
          <w:tcPr>
            <w:tcW w:w="2766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±2.0</w:t>
            </w:r>
          </w:p>
        </w:tc>
        <w:tc>
          <w:tcPr>
            <w:tcW w:w="1715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≤1.0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  <w:jc w:val="center"/>
        </w:trPr>
        <w:tc>
          <w:tcPr>
            <w:tcW w:w="1635" w:type="dxa"/>
            <w:vMerge w:val="restart"/>
            <w:tcBorders>
              <w:bottom w:val="nil"/>
            </w:tcBorders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1000</w:t>
            </w:r>
          </w:p>
        </w:tc>
        <w:tc>
          <w:tcPr>
            <w:tcW w:w="2282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200</w:t>
            </w:r>
          </w:p>
        </w:tc>
        <w:tc>
          <w:tcPr>
            <w:tcW w:w="2766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±2.0</w:t>
            </w:r>
          </w:p>
        </w:tc>
        <w:tc>
          <w:tcPr>
            <w:tcW w:w="1715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≤1.0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  <w:jc w:val="center"/>
        </w:trPr>
        <w:tc>
          <w:tcPr>
            <w:tcW w:w="1635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2282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600</w:t>
            </w:r>
          </w:p>
        </w:tc>
        <w:tc>
          <w:tcPr>
            <w:tcW w:w="2766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±2.0</w:t>
            </w:r>
          </w:p>
        </w:tc>
        <w:tc>
          <w:tcPr>
            <w:tcW w:w="1715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≤1.0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1635" w:type="dxa"/>
            <w:vMerge w:val="continue"/>
            <w:tcBorders>
              <w:top w:val="nil"/>
            </w:tcBorders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2282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1000</w:t>
            </w:r>
          </w:p>
        </w:tc>
        <w:tc>
          <w:tcPr>
            <w:tcW w:w="2766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±2.0</w:t>
            </w:r>
          </w:p>
        </w:tc>
        <w:tc>
          <w:tcPr>
            <w:tcW w:w="1715" w:type="dxa"/>
            <w:vAlign w:val="center"/>
          </w:tcPr>
          <w:p>
            <w:pPr>
              <w:pStyle w:val="42"/>
              <w:framePr w:hSpace="0" w:wrap="auto" w:vAnchor="margin" w:hAnchor="text" w:xAlign="left" w:yAlign="in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≤1.0</w:t>
            </w:r>
          </w:p>
        </w:tc>
      </w:tr>
    </w:tbl>
    <w:p>
      <w:pPr>
        <w:spacing w:line="72" w:lineRule="exact"/>
      </w:pPr>
    </w:p>
    <w:p>
      <w:pPr>
        <w:spacing w:line="360" w:lineRule="auto"/>
        <w:ind w:firstLine="420" w:firstLineChars="200"/>
        <w:jc w:val="both"/>
        <w:textAlignment w:val="center"/>
        <w:outlineLvl w:val="9"/>
        <w:rPr>
          <w:rFonts w:ascii="Times New Roman" w:eastAsia="宋体"/>
          <w:sz w:val="21"/>
          <w:szCs w:val="21"/>
        </w:rPr>
      </w:pPr>
      <w:bookmarkStart w:id="23" w:name="_Toc6770"/>
      <w:r>
        <w:rPr>
          <w:rFonts w:ascii="Times New Roman" w:eastAsia="仿宋"/>
          <w:sz w:val="21"/>
          <w:szCs w:val="21"/>
        </w:rPr>
        <w:t>注：以上所有计量特性技术指标仅提供参考，不适用于合格性判定。</w:t>
      </w:r>
      <w:bookmarkEnd w:id="23"/>
    </w:p>
    <w:bookmarkEnd w:id="22"/>
    <w:p>
      <w:pPr>
        <w:pStyle w:val="2"/>
        <w:pageBreakBefore w:val="0"/>
        <w:kinsoku/>
        <w:wordWrap/>
        <w:overflowPunct/>
        <w:topLinePunct w:val="0"/>
        <w:bidi w:val="0"/>
        <w:spacing w:line="480" w:lineRule="auto"/>
        <w:jc w:val="both"/>
        <w:textAlignment w:val="center"/>
        <w:rPr>
          <w:rFonts w:hint="eastAsia" w:ascii="黑体" w:hAnsi="黑体" w:eastAsia="黑体" w:cs="黑体"/>
          <w:bCs/>
          <w:caps w:val="0"/>
          <w:color w:val="auto"/>
          <w:spacing w:val="0"/>
          <w:position w:val="0"/>
          <w:sz w:val="24"/>
        </w:rPr>
      </w:pPr>
      <w:bookmarkStart w:id="24" w:name="_Toc8456"/>
      <w:r>
        <w:rPr>
          <w:rFonts w:hint="eastAsia" w:ascii="黑体" w:hAnsi="黑体" w:eastAsia="黑体" w:cs="黑体"/>
          <w:bCs/>
          <w:caps w:val="0"/>
          <w:color w:val="auto"/>
          <w:spacing w:val="0"/>
          <w:position w:val="0"/>
          <w:sz w:val="24"/>
        </w:rPr>
        <w:t>6  校准条件</w:t>
      </w:r>
      <w:bookmarkEnd w:id="24"/>
    </w:p>
    <w:p>
      <w:pPr>
        <w:pageBreakBefore w:val="0"/>
        <w:kinsoku/>
        <w:wordWrap/>
        <w:overflowPunct/>
        <w:topLinePunct w:val="0"/>
        <w:bidi w:val="0"/>
        <w:spacing w:line="360" w:lineRule="auto"/>
        <w:ind w:right="12"/>
        <w:textAlignment w:val="center"/>
        <w:outlineLvl w:val="1"/>
        <w:rPr>
          <w:rFonts w:hint="eastAsia" w:ascii="宋体" w:hAnsi="宋体" w:eastAsia="宋体" w:cs="Times New Roman"/>
          <w:color w:val="auto"/>
          <w:sz w:val="24"/>
        </w:rPr>
      </w:pPr>
      <w:r>
        <w:rPr>
          <w:rFonts w:hint="eastAsia" w:ascii="宋体" w:hAnsi="宋体" w:eastAsia="宋体" w:cs="Times New Roman"/>
          <w:color w:val="auto"/>
          <w:sz w:val="24"/>
        </w:rPr>
        <w:t>6.1</w:t>
      </w:r>
      <w:r>
        <w:rPr>
          <w:rFonts w:hint="eastAsia" w:ascii="宋体" w:hAnsi="宋体" w:eastAsia="宋体" w:cs="Times New Roman"/>
          <w:color w:val="auto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color w:val="auto"/>
          <w:sz w:val="24"/>
        </w:rPr>
        <w:t xml:space="preserve"> 环境条件</w:t>
      </w:r>
    </w:p>
    <w:p>
      <w:pPr>
        <w:pageBreakBefore w:val="0"/>
        <w:kinsoku/>
        <w:wordWrap/>
        <w:overflowPunct/>
        <w:topLinePunct w:val="0"/>
        <w:bidi w:val="0"/>
        <w:spacing w:line="360" w:lineRule="auto"/>
        <w:ind w:left="0" w:leftChars="0" w:right="12" w:firstLine="480" w:firstLineChars="200"/>
        <w:textAlignment w:val="center"/>
        <w:outlineLvl w:val="9"/>
        <w:rPr>
          <w:rFonts w:hint="eastAsia" w:ascii="宋体" w:hAnsi="宋体" w:eastAsia="宋体" w:cs="Times New Roman"/>
          <w:color w:val="auto"/>
          <w:sz w:val="24"/>
        </w:rPr>
      </w:pPr>
      <w:r>
        <w:rPr>
          <w:rFonts w:hint="eastAsia" w:ascii="宋体" w:hAnsi="宋体" w:eastAsia="宋体" w:cs="Times New Roman"/>
          <w:color w:val="auto"/>
          <w:sz w:val="24"/>
        </w:rPr>
        <w:t>温度：（20±5）℃，室温变化不大于1℃/h；</w:t>
      </w:r>
    </w:p>
    <w:p>
      <w:pPr>
        <w:pageBreakBefore w:val="0"/>
        <w:kinsoku/>
        <w:wordWrap/>
        <w:overflowPunct/>
        <w:topLinePunct w:val="0"/>
        <w:bidi w:val="0"/>
        <w:spacing w:line="360" w:lineRule="auto"/>
        <w:ind w:left="0" w:leftChars="0" w:right="12" w:firstLine="480" w:firstLineChars="200"/>
        <w:textAlignment w:val="center"/>
        <w:outlineLvl w:val="9"/>
        <w:rPr>
          <w:rFonts w:hint="eastAsia" w:ascii="宋体" w:hAnsi="宋体" w:eastAsia="宋体" w:cs="Times New Roman"/>
          <w:color w:val="auto"/>
          <w:sz w:val="24"/>
        </w:rPr>
      </w:pPr>
      <w:r>
        <w:rPr>
          <w:rFonts w:hint="eastAsia" w:ascii="宋体" w:hAnsi="宋体" w:eastAsia="宋体" w:cs="Times New Roman"/>
          <w:color w:val="auto"/>
          <w:sz w:val="24"/>
        </w:rPr>
        <w:t>湿度：（30～80）%RH。</w:t>
      </w:r>
    </w:p>
    <w:p>
      <w:pPr>
        <w:pageBreakBefore w:val="0"/>
        <w:kinsoku/>
        <w:wordWrap/>
        <w:overflowPunct/>
        <w:topLinePunct w:val="0"/>
        <w:bidi w:val="0"/>
        <w:spacing w:line="360" w:lineRule="auto"/>
        <w:ind w:right="12"/>
        <w:textAlignment w:val="center"/>
        <w:outlineLvl w:val="1"/>
        <w:rPr>
          <w:rFonts w:hint="eastAsia" w:ascii="宋体" w:hAnsi="宋体" w:eastAsia="宋体" w:cs="Times New Roman"/>
          <w:color w:val="auto"/>
          <w:sz w:val="24"/>
        </w:rPr>
      </w:pPr>
      <w:r>
        <w:rPr>
          <w:rFonts w:hint="eastAsia" w:ascii="宋体" w:hAnsi="宋体" w:eastAsia="宋体" w:cs="Times New Roman"/>
          <w:color w:val="auto"/>
          <w:sz w:val="24"/>
        </w:rPr>
        <w:t xml:space="preserve">6.2 </w:t>
      </w:r>
      <w:r>
        <w:rPr>
          <w:rFonts w:hint="eastAsia" w:ascii="宋体" w:hAnsi="宋体" w:eastAsia="宋体" w:cs="Times New Roman"/>
          <w:color w:val="auto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color w:val="auto"/>
          <w:sz w:val="24"/>
        </w:rPr>
        <w:t>校准介质</w:t>
      </w:r>
    </w:p>
    <w:p>
      <w:pPr>
        <w:pageBreakBefore w:val="0"/>
        <w:kinsoku/>
        <w:wordWrap/>
        <w:overflowPunct/>
        <w:topLinePunct w:val="0"/>
        <w:bidi w:val="0"/>
        <w:spacing w:line="360" w:lineRule="auto"/>
        <w:ind w:left="0" w:leftChars="0" w:right="12" w:firstLine="480" w:firstLineChars="200"/>
        <w:textAlignment w:val="center"/>
        <w:outlineLvl w:val="9"/>
        <w:rPr>
          <w:rFonts w:hint="eastAsia" w:ascii="宋体" w:hAnsi="宋体" w:eastAsia="宋体" w:cs="Times New Roman"/>
          <w:color w:val="auto"/>
          <w:sz w:val="24"/>
        </w:rPr>
      </w:pPr>
      <w:r>
        <w:rPr>
          <w:rFonts w:hint="eastAsia" w:ascii="宋体" w:hAnsi="宋体" w:eastAsia="宋体" w:cs="Times New Roman"/>
          <w:color w:val="auto"/>
          <w:sz w:val="24"/>
        </w:rPr>
        <w:t>校准介质应使用符合GB/T 6682—2008《分析实验室用水规格和试验方法》要求的纯水，并提前24</w:t>
      </w:r>
      <w:r>
        <w:rPr>
          <w:rFonts w:hint="eastAsia" w:ascii="宋体" w:hAnsi="宋体" w:cs="Times New Roman"/>
          <w:color w:val="auto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color w:val="auto"/>
          <w:sz w:val="24"/>
        </w:rPr>
        <w:t>h放入实验室内，使其温度与室温之差不大于2℃。</w:t>
      </w:r>
    </w:p>
    <w:p>
      <w:pPr>
        <w:pageBreakBefore w:val="0"/>
        <w:kinsoku/>
        <w:wordWrap/>
        <w:overflowPunct/>
        <w:topLinePunct w:val="0"/>
        <w:bidi w:val="0"/>
        <w:spacing w:line="360" w:lineRule="auto"/>
        <w:ind w:right="12"/>
        <w:textAlignment w:val="center"/>
        <w:outlineLvl w:val="1"/>
        <w:rPr>
          <w:rFonts w:hint="eastAsia" w:ascii="宋体" w:hAnsi="宋体" w:eastAsia="宋体" w:cs="Times New Roman"/>
          <w:color w:val="auto"/>
          <w:sz w:val="24"/>
        </w:rPr>
      </w:pPr>
      <w:r>
        <w:rPr>
          <w:rFonts w:hint="eastAsia" w:ascii="宋体" w:hAnsi="宋体" w:eastAsia="宋体" w:cs="Times New Roman"/>
          <w:color w:val="auto"/>
          <w:sz w:val="24"/>
        </w:rPr>
        <w:t xml:space="preserve">6.3 </w:t>
      </w:r>
      <w:r>
        <w:rPr>
          <w:rFonts w:hint="eastAsia" w:ascii="宋体" w:hAnsi="宋体" w:eastAsia="宋体" w:cs="Times New Roman"/>
          <w:color w:val="auto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color w:val="auto"/>
          <w:sz w:val="24"/>
        </w:rPr>
        <w:t>测量标准及其他设备</w:t>
      </w:r>
    </w:p>
    <w:p>
      <w:pPr>
        <w:spacing w:line="360" w:lineRule="auto"/>
        <w:ind w:firstLine="480"/>
        <w:jc w:val="center"/>
        <w:rPr>
          <w:rFonts w:hint="eastAsia" w:ascii="黑体" w:hAnsi="黑体" w:eastAsia="黑体" w:cs="黑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表2  测量标准及其他设备</w:t>
      </w:r>
    </w:p>
    <w:tbl>
      <w:tblPr>
        <w:tblStyle w:val="24"/>
        <w:tblW w:w="499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405"/>
        <w:gridCol w:w="71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  <w:jc w:val="center"/>
        </w:trPr>
        <w:tc>
          <w:tcPr>
            <w:tcW w:w="368" w:type="pc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序号</w:t>
            </w:r>
          </w:p>
        </w:tc>
        <w:tc>
          <w:tcPr>
            <w:tcW w:w="756" w:type="pc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设备名称</w:t>
            </w:r>
          </w:p>
        </w:tc>
        <w:tc>
          <w:tcPr>
            <w:tcW w:w="3874" w:type="pc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技术参数要求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368" w:type="pct"/>
            <w:vMerge w:val="restar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</w:p>
        </w:tc>
        <w:tc>
          <w:tcPr>
            <w:tcW w:w="756" w:type="pct"/>
            <w:vMerge w:val="restar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电子天平</w:t>
            </w:r>
          </w:p>
        </w:tc>
        <w:tc>
          <w:tcPr>
            <w:tcW w:w="3874" w:type="pct"/>
            <w:vAlign w:val="center"/>
          </w:tcPr>
          <w:p>
            <w:pPr>
              <w:pStyle w:val="42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当容量校准点在（0.1</w:t>
            </w: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  <w:lang w:eastAsia="zh-CN"/>
              </w:rPr>
              <w:t>~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25）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μ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L时，（0</w:t>
            </w: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  <w:lang w:eastAsia="zh-CN"/>
              </w:rPr>
              <w:t>~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30）g，分度值为0.001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mg，</w:t>
            </w:r>
          </w:p>
          <w:p>
            <w:pPr>
              <w:pStyle w:val="42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自带防蒸发阱装置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368" w:type="pct"/>
            <w:vMerge w:val="continue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756" w:type="pct"/>
            <w:vMerge w:val="continue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3874" w:type="pct"/>
            <w:vAlign w:val="center"/>
          </w:tcPr>
          <w:p>
            <w:pPr>
              <w:pStyle w:val="42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当容量校准点在（25</w:t>
            </w: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  <w:lang w:eastAsia="zh-CN"/>
              </w:rPr>
              <w:t>~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000）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μ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L时，</w:t>
            </w:r>
            <w:r>
              <w:rPr>
                <w:rFonts w:hint="eastAsia" w:asciiTheme="minorEastAsia" w:hAnsiTheme="minorEastAsia" w:eastAsiaTheme="minorEastAsia" w:cstheme="minorEastAsia"/>
                <w:spacing w:val="5"/>
                <w:sz w:val="21"/>
                <w:szCs w:val="21"/>
                <w:lang w:eastAsia="zh-CN"/>
              </w:rPr>
              <w:t>（0</w:t>
            </w:r>
            <w:r>
              <w:rPr>
                <w:rFonts w:hint="default" w:ascii="Times New Roman" w:hAnsi="Times New Roman" w:cs="Times New Roman" w:eastAsiaTheme="minorEastAsia"/>
                <w:spacing w:val="5"/>
                <w:sz w:val="21"/>
                <w:szCs w:val="21"/>
                <w:lang w:eastAsia="zh-CN"/>
              </w:rPr>
              <w:t>~</w:t>
            </w:r>
            <w:r>
              <w:rPr>
                <w:rFonts w:hint="eastAsia" w:asciiTheme="minorEastAsia" w:hAnsiTheme="minorEastAsia" w:eastAsiaTheme="minorEastAsia" w:cstheme="minorEastAsia"/>
                <w:spacing w:val="5"/>
                <w:sz w:val="21"/>
                <w:szCs w:val="21"/>
                <w:lang w:eastAsia="zh-CN"/>
              </w:rPr>
              <w:t>210）g，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分度值为0.01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mg，</w:t>
            </w:r>
          </w:p>
          <w:p>
            <w:pPr>
              <w:pStyle w:val="42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可选防蒸发阱装置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368" w:type="pc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</w:t>
            </w:r>
          </w:p>
        </w:tc>
        <w:tc>
          <w:tcPr>
            <w:tcW w:w="756" w:type="pc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6"/>
                <w:sz w:val="21"/>
                <w:szCs w:val="21"/>
              </w:rPr>
              <w:t>温度计</w:t>
            </w:r>
          </w:p>
        </w:tc>
        <w:tc>
          <w:tcPr>
            <w:tcW w:w="3874" w:type="pct"/>
            <w:vAlign w:val="center"/>
          </w:tcPr>
          <w:p>
            <w:pPr>
              <w:pStyle w:val="13"/>
              <w:spacing w:line="360" w:lineRule="auto"/>
              <w:ind w:right="25" w:rightChars="12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</w:rPr>
              <w:t>（0～30）℃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，分度值：0.1℃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368" w:type="pc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</w:t>
            </w:r>
          </w:p>
        </w:tc>
        <w:tc>
          <w:tcPr>
            <w:tcW w:w="756" w:type="pc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pacing w:val="6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5"/>
                <w:sz w:val="21"/>
                <w:szCs w:val="21"/>
              </w:rPr>
              <w:t>秒表</w:t>
            </w:r>
          </w:p>
        </w:tc>
        <w:tc>
          <w:tcPr>
            <w:tcW w:w="3874" w:type="pct"/>
            <w:vAlign w:val="center"/>
          </w:tcPr>
          <w:p>
            <w:pPr>
              <w:pStyle w:val="13"/>
              <w:spacing w:line="360" w:lineRule="auto"/>
              <w:ind w:right="25" w:rightChars="12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</w:rPr>
              <w:t>（0～3600）</w:t>
            </w:r>
            <w:r>
              <w:rPr>
                <w:rFonts w:hint="eastAsia" w:asciiTheme="minorEastAsia" w:hAnsiTheme="minorEastAsia" w:eastAsiaTheme="minorEastAsia" w:cstheme="minorEastAsia"/>
                <w:spacing w:val="5"/>
                <w:sz w:val="21"/>
                <w:szCs w:val="21"/>
              </w:rPr>
              <w:t>s，分辨力：0.1</w:t>
            </w:r>
            <w:r>
              <w:rPr>
                <w:rFonts w:hint="eastAsia" w:asciiTheme="minorEastAsia" w:hAnsiTheme="minorEastAsia" w:eastAsiaTheme="minorEastAsia" w:cstheme="minorEastAsia"/>
                <w:spacing w:val="5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5"/>
                <w:sz w:val="21"/>
                <w:szCs w:val="21"/>
              </w:rPr>
              <w:t>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368" w:type="pc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4</w:t>
            </w:r>
          </w:p>
        </w:tc>
        <w:tc>
          <w:tcPr>
            <w:tcW w:w="756" w:type="pc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pacing w:val="6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4"/>
                <w:sz w:val="21"/>
                <w:szCs w:val="21"/>
              </w:rPr>
              <w:t>读数放大镜</w:t>
            </w:r>
          </w:p>
        </w:tc>
        <w:tc>
          <w:tcPr>
            <w:tcW w:w="3874" w:type="pct"/>
            <w:vAlign w:val="center"/>
          </w:tcPr>
          <w:p>
            <w:pPr>
              <w:pStyle w:val="13"/>
              <w:spacing w:line="360" w:lineRule="auto"/>
              <w:ind w:right="25" w:rightChars="12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4"/>
                <w:sz w:val="21"/>
                <w:szCs w:val="21"/>
              </w:rPr>
              <w:t>1×10倍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368" w:type="pc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</w:t>
            </w:r>
          </w:p>
        </w:tc>
        <w:tc>
          <w:tcPr>
            <w:tcW w:w="756" w:type="pc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pacing w:val="4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4"/>
                <w:sz w:val="21"/>
                <w:szCs w:val="21"/>
              </w:rPr>
              <w:t>烧杯</w:t>
            </w:r>
          </w:p>
        </w:tc>
        <w:tc>
          <w:tcPr>
            <w:tcW w:w="3874" w:type="pct"/>
            <w:vAlign w:val="center"/>
          </w:tcPr>
          <w:p>
            <w:pPr>
              <w:pStyle w:val="13"/>
              <w:spacing w:line="360" w:lineRule="auto"/>
              <w:ind w:right="25" w:rightChars="12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pacing w:val="4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4"/>
                <w:sz w:val="21"/>
                <w:szCs w:val="21"/>
              </w:rPr>
              <w:t>500</w:t>
            </w:r>
            <w:r>
              <w:rPr>
                <w:rFonts w:hint="eastAsia" w:asciiTheme="minorEastAsia" w:hAnsiTheme="minorEastAsia" w:eastAsiaTheme="minorEastAsia" w:cstheme="minorEastAsia"/>
                <w:spacing w:val="4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4"/>
                <w:sz w:val="21"/>
                <w:szCs w:val="21"/>
              </w:rPr>
              <w:t>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368" w:type="pc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6</w:t>
            </w:r>
          </w:p>
        </w:tc>
        <w:tc>
          <w:tcPr>
            <w:tcW w:w="756" w:type="pc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pacing w:val="4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4"/>
                <w:sz w:val="21"/>
                <w:szCs w:val="21"/>
              </w:rPr>
              <w:t>有盖称量杯</w:t>
            </w:r>
          </w:p>
        </w:tc>
        <w:tc>
          <w:tcPr>
            <w:tcW w:w="3874" w:type="pct"/>
            <w:vAlign w:val="center"/>
          </w:tcPr>
          <w:p>
            <w:pPr>
              <w:pStyle w:val="13"/>
              <w:spacing w:line="360" w:lineRule="auto"/>
              <w:ind w:right="25" w:rightChars="12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pacing w:val="4"/>
                <w:sz w:val="21"/>
                <w:szCs w:val="21"/>
              </w:rPr>
            </w:pPr>
            <w:r>
              <w:rPr>
                <w:bCs/>
                <w:sz w:val="24"/>
              </w:rPr>
              <w:t>——</w:t>
            </w:r>
          </w:p>
        </w:tc>
      </w:tr>
    </w:tbl>
    <w:p>
      <w:pPr>
        <w:pStyle w:val="2"/>
        <w:pageBreakBefore w:val="0"/>
        <w:kinsoku/>
        <w:wordWrap/>
        <w:overflowPunct/>
        <w:topLinePunct w:val="0"/>
        <w:bidi w:val="0"/>
        <w:spacing w:line="480" w:lineRule="auto"/>
        <w:jc w:val="both"/>
        <w:textAlignment w:val="center"/>
        <w:rPr>
          <w:rFonts w:hint="eastAsia" w:ascii="黑体" w:hAnsi="黑体" w:eastAsia="黑体" w:cs="黑体"/>
          <w:bCs/>
          <w:caps w:val="0"/>
          <w:color w:val="auto"/>
          <w:spacing w:val="0"/>
          <w:position w:val="0"/>
          <w:sz w:val="24"/>
        </w:rPr>
      </w:pPr>
      <w:bookmarkStart w:id="25" w:name="_Toc31206"/>
      <w:r>
        <w:rPr>
          <w:rFonts w:hint="eastAsia" w:ascii="黑体" w:hAnsi="黑体" w:eastAsia="黑体" w:cs="黑体"/>
          <w:bCs/>
          <w:caps w:val="0"/>
          <w:color w:val="auto"/>
          <w:spacing w:val="0"/>
          <w:position w:val="0"/>
          <w:sz w:val="24"/>
        </w:rPr>
        <w:t>7  校准项目和校准方法</w:t>
      </w:r>
      <w:bookmarkEnd w:id="25"/>
    </w:p>
    <w:p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>微量进样器的分度线与量的数值应清晰完整，限位管端面与容量零线应重合，针尖部位的胶合处不得有渗液现象。校准前，提前4</w:t>
      </w:r>
      <w:r>
        <w:rPr>
          <w:rFonts w:hint="eastAsia" w:ascii="宋体" w:hAnsi="宋体" w:cs="Times New Roman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</w:rPr>
        <w:t>h将微量进样器放置于实验室内。将微量进样器针尖向下放入水中，拉动芯子从容量零线至容量终线，缓慢反复润洗4次～5次直至微量进样器内的气泡</w:t>
      </w:r>
      <w:r>
        <w:rPr>
          <w:rFonts w:hint="eastAsia" w:ascii="宋体" w:hAnsi="宋体" w:cs="Times New Roman"/>
          <w:sz w:val="24"/>
          <w:lang w:eastAsia="zh-CN"/>
        </w:rPr>
        <w:t>排除</w:t>
      </w:r>
      <w:r>
        <w:rPr>
          <w:rFonts w:hint="eastAsia" w:ascii="宋体" w:hAnsi="宋体" w:eastAsia="宋体" w:cs="Times New Roman"/>
          <w:sz w:val="24"/>
        </w:rPr>
        <w:t>，拉至容量终线后平放，在吸入水后的15</w:t>
      </w:r>
      <w:r>
        <w:rPr>
          <w:rFonts w:hint="eastAsia" w:ascii="宋体" w:hAnsi="宋体" w:cs="Times New Roman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</w:rPr>
        <w:t>s内各部分不应有液体渗出且无气泡泛出。</w:t>
      </w:r>
    </w:p>
    <w:p>
      <w:pPr>
        <w:spacing w:line="360" w:lineRule="auto"/>
        <w:outlineLvl w:val="1"/>
        <w:rPr>
          <w:rFonts w:hint="eastAsia" w:ascii="宋体" w:hAnsi="宋体" w:eastAsia="宋体" w:cs="Times New Roman"/>
          <w:sz w:val="24"/>
        </w:rPr>
      </w:pPr>
      <w:bookmarkStart w:id="26" w:name="_Toc19185"/>
      <w:r>
        <w:rPr>
          <w:rFonts w:hint="eastAsia" w:ascii="宋体" w:hAnsi="宋体" w:eastAsia="宋体" w:cs="Times New Roman"/>
          <w:sz w:val="24"/>
        </w:rPr>
        <w:t>7.</w:t>
      </w:r>
      <w:bookmarkEnd w:id="26"/>
      <w:r>
        <w:rPr>
          <w:rFonts w:hint="eastAsia" w:ascii="宋体" w:hAnsi="宋体" w:eastAsia="宋体" w:cs="Times New Roman"/>
          <w:sz w:val="24"/>
        </w:rPr>
        <w:t>1  容量相对误差</w:t>
      </w:r>
    </w:p>
    <w:p>
      <w:pPr>
        <w:spacing w:line="360" w:lineRule="auto"/>
        <w:rPr>
          <w:rFonts w:hint="eastAsia"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>7.1.1  安装调整好电子天平，配有防蒸发阱设备的电子天平需保障防蒸发阱装置工作性能良好。</w:t>
      </w:r>
    </w:p>
    <w:p>
      <w:pPr>
        <w:spacing w:line="360" w:lineRule="auto"/>
        <w:rPr>
          <w:rFonts w:hint="eastAsia"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>7.1.2  烧杯中准备好恒温24</w:t>
      </w:r>
      <w:r>
        <w:rPr>
          <w:rFonts w:hint="eastAsia" w:ascii="宋体" w:hAnsi="宋体" w:cs="Times New Roman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</w:rPr>
        <w:t>h的纯水，同时放置温度计，先将微量进样器反复润洗4次～5次直至微量进样器内的气泡</w:t>
      </w:r>
      <w:r>
        <w:rPr>
          <w:rFonts w:hint="eastAsia" w:ascii="宋体" w:hAnsi="宋体" w:cs="Times New Roman"/>
          <w:sz w:val="24"/>
          <w:lang w:eastAsia="zh-CN"/>
        </w:rPr>
        <w:t>排除</w:t>
      </w:r>
      <w:r>
        <w:rPr>
          <w:rFonts w:hint="eastAsia" w:ascii="宋体" w:hAnsi="宋体" w:eastAsia="宋体" w:cs="Times New Roman"/>
          <w:sz w:val="24"/>
        </w:rPr>
        <w:t>，再将针尖浸入纯水液面下（5～6）mm处，均匀拉动芯子，缓慢吸液至被校点以上约5</w:t>
      </w:r>
      <w:r>
        <w:rPr>
          <w:rFonts w:hint="eastAsia" w:ascii="宋体" w:hAnsi="宋体" w:cs="Times New Roman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</w:rPr>
        <w:t>mm处，针尖离开烧杯液面，调整微量进样器内的液面至满刻度校准点，用放大镜观察限位管端面确保与校准点刻线完全重合，然后用滤纸将针尖周围的水擦掉，不要将针尖口的水吸走，不得用手触碰针尖。</w:t>
      </w:r>
    </w:p>
    <w:p>
      <w:pPr>
        <w:spacing w:line="360" w:lineRule="auto"/>
        <w:rPr>
          <w:rFonts w:hint="eastAsia"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>7.1.3  打开电子天平，从电子天平中取出称量杯，将微量进样器的针尖靠在称量杯的内壁缓慢注入纯水，然后将针尖沿着称量杯的内壁向上移开，将称量杯放入电子天平上待电子天平稳定后记录此时的数值，同时读取并记录此时烧杯中纯水的温度以备查表使用。</w:t>
      </w:r>
    </w:p>
    <w:p>
      <w:pPr>
        <w:spacing w:line="360" w:lineRule="auto"/>
        <w:rPr>
          <w:rFonts w:hint="eastAsia"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>7.1.4  按上述方法重复测量6次，</w:t>
      </w:r>
      <w:r>
        <w:rPr>
          <w:rFonts w:hint="eastAsia" w:ascii="宋体" w:hAnsi="宋体" w:cs="Times New Roman"/>
          <w:sz w:val="24"/>
          <w:lang w:val="en-US" w:eastAsia="zh-CN"/>
        </w:rPr>
        <w:t>按表1对各校准点进行测量</w:t>
      </w:r>
      <w:r>
        <w:rPr>
          <w:rFonts w:hint="eastAsia" w:ascii="宋体" w:hAnsi="宋体" w:eastAsia="宋体" w:cs="Times New Roman"/>
          <w:sz w:val="24"/>
        </w:rPr>
        <w:t>。</w:t>
      </w:r>
    </w:p>
    <w:p>
      <w:pPr>
        <w:spacing w:line="360" w:lineRule="auto"/>
        <w:rPr>
          <w:rFonts w:hint="eastAsia"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>7.1.5  将所测得的质量值和温度值分别代入公式（1），即可求得被校准微量进样器在标准温度20℃时的实际容量值。</w:t>
      </w:r>
    </w:p>
    <w:p>
      <w:pPr>
        <w:topLinePunct/>
        <w:snapToGrid w:val="0"/>
        <w:spacing w:line="360" w:lineRule="auto"/>
        <w:ind w:firstLine="480" w:firstLineChars="200"/>
        <w:jc w:val="right"/>
        <w:textAlignment w:val="baseline"/>
        <w:rPr>
          <w:rFonts w:eastAsiaTheme="minorEastAsia"/>
          <w:kern w:val="0"/>
          <w:sz w:val="24"/>
        </w:rPr>
      </w:pPr>
      <w:r>
        <w:rPr>
          <w:rFonts w:eastAsiaTheme="minorEastAsia"/>
          <w:kern w:val="0"/>
          <w:position w:val="-30"/>
          <w:sz w:val="24"/>
        </w:rPr>
        <w:object>
          <v:shape id="_x0000_i1026" o:spt="75" type="#_x0000_t75" style="height:34pt;width:157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f"/>
            <w10:wrap type="none"/>
            <w10:anchorlock/>
          </v:shape>
          <o:OLEObject Type="Embed" ProgID="Equation.3" ShapeID="_x0000_i1026" DrawAspect="Content" ObjectID="_1468075727" r:id="rId24">
            <o:LockedField>false</o:LockedField>
          </o:OLEObject>
        </w:object>
      </w:r>
      <w:r>
        <w:rPr>
          <w:rFonts w:eastAsiaTheme="minorEastAsia"/>
          <w:kern w:val="0"/>
          <w:sz w:val="24"/>
        </w:rPr>
        <w:t xml:space="preserve">                 </w:t>
      </w:r>
      <w:r>
        <w:rPr>
          <w:rFonts w:hint="eastAsia" w:asciiTheme="minorEastAsia" w:hAnsiTheme="minorEastAsia" w:eastAsiaTheme="minorEastAsia" w:cstheme="minorEastAsia"/>
          <w:kern w:val="0"/>
          <w:sz w:val="24"/>
        </w:rPr>
        <w:t>（1）</w:t>
      </w:r>
    </w:p>
    <w:p>
      <w:pPr>
        <w:pStyle w:val="10"/>
        <w:spacing w:after="0" w:line="360" w:lineRule="auto"/>
        <w:ind w:firstLine="420" w:firstLineChars="175"/>
        <w:textAlignment w:val="baseline"/>
        <w:rPr>
          <w:rFonts w:eastAsiaTheme="majorEastAsia"/>
          <w:position w:val="25"/>
          <w:sz w:val="24"/>
          <w:szCs w:val="24"/>
        </w:rPr>
      </w:pPr>
      <w:r>
        <w:rPr>
          <w:rFonts w:eastAsiaTheme="majorEastAsia"/>
          <w:position w:val="25"/>
          <w:sz w:val="24"/>
          <w:szCs w:val="24"/>
        </w:rPr>
        <w:t>式中：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default" w:ascii="Times New Roman" w:hAnsi="Times New Roman" w:eastAsia="宋体" w:cs="Times New Roman"/>
          <w:i/>
          <w:iCs/>
          <w:caps w:val="0"/>
          <w:color w:val="auto"/>
          <w:spacing w:val="0"/>
          <w:position w:val="0"/>
          <w:sz w:val="24"/>
        </w:rPr>
        <w:t>V</w:t>
      </w:r>
      <w:r>
        <w:rPr>
          <w:rFonts w:hint="default" w:ascii="Times New Roman" w:hAnsi="Times New Roman" w:eastAsia="宋体" w:cs="Times New Roman"/>
          <w:i/>
          <w:iCs/>
          <w:caps w:val="0"/>
          <w:color w:val="auto"/>
          <w:spacing w:val="0"/>
          <w:position w:val="0"/>
          <w:sz w:val="24"/>
          <w:vertAlign w:val="subscript"/>
        </w:rPr>
        <w:t>20</w:t>
      </w:r>
      <w:r>
        <w:rPr>
          <w:rFonts w:hint="eastAsia" w:ascii="宋体" w:hAnsi="宋体" w:cs="宋体"/>
          <w:i/>
          <w:iCs/>
          <w:caps w:val="0"/>
          <w:color w:val="auto"/>
          <w:spacing w:val="0"/>
          <w:position w:val="0"/>
          <w:sz w:val="24"/>
          <w:vertAlign w:val="subscript"/>
          <w:lang w:val="en-US" w:eastAsia="zh-CN"/>
        </w:rPr>
        <w:t xml:space="preserve"> </w:t>
      </w:r>
      <w:r>
        <w:rPr>
          <w:bCs/>
          <w:sz w:val="24"/>
        </w:rPr>
        <w:t>——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标准温度20℃时的微量进样器的实际容量，μL；</w:t>
      </w:r>
    </w:p>
    <w:p>
      <w:pPr>
        <w:pStyle w:val="10"/>
        <w:spacing w:after="0" w:line="360" w:lineRule="auto"/>
        <w:ind w:firstLine="480" w:firstLineChars="200"/>
        <w:textAlignment w:val="baseline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i/>
          <w:iCs/>
          <w:sz w:val="24"/>
          <w:szCs w:val="24"/>
        </w:rPr>
        <w:t>m</w:t>
      </w:r>
      <w:r>
        <w:rPr>
          <w:rFonts w:hint="eastAsia" w:asciiTheme="minorEastAsia" w:hAnsiTheme="minorEastAsia" w:eastAsiaTheme="minorEastAsia" w:cstheme="minorEastAsia"/>
          <w:i/>
          <w:iCs/>
          <w:sz w:val="24"/>
          <w:szCs w:val="24"/>
        </w:rPr>
        <w:tab/>
      </w:r>
      <w:r>
        <w:rPr>
          <w:bCs/>
          <w:sz w:val="24"/>
        </w:rPr>
        <w:t>——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被校微量进样器所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排除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的纯水表观质量</w:t>
      </w:r>
      <w:r>
        <w:rPr>
          <w:rFonts w:hint="eastAsia" w:asciiTheme="minorEastAsia" w:hAnsiTheme="minorEastAsia" w:eastAsiaTheme="minorEastAsia" w:cstheme="minorEastAsia"/>
          <w:spacing w:val="-1"/>
          <w:sz w:val="24"/>
          <w:szCs w:val="24"/>
        </w:rPr>
        <w:t>，g；</w:t>
      </w:r>
    </w:p>
    <w:p>
      <w:pPr>
        <w:pStyle w:val="10"/>
        <w:spacing w:after="0" w:line="360" w:lineRule="auto"/>
        <w:ind w:firstLine="480" w:firstLineChars="200"/>
        <w:textAlignment w:val="baseline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0"/>
          <w:position w:val="-10"/>
          <w:sz w:val="24"/>
          <w:szCs w:val="24"/>
        </w:rPr>
        <w:object>
          <v:shape id="_x0000_i1027" o:spt="75" type="#_x0000_t75" style="height:17pt;width:16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f"/>
            <w10:wrap type="none"/>
            <w10:anchorlock/>
          </v:shape>
          <o:OLEObject Type="Embed" ProgID="Equation.3" ShapeID="_x0000_i1027" DrawAspect="Content" ObjectID="_1468075728" r:id="rId26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kern w:val="0"/>
          <w:position w:val="-10"/>
          <w:sz w:val="24"/>
          <w:szCs w:val="24"/>
        </w:rPr>
        <w:tab/>
      </w:r>
      <w:r>
        <w:rPr>
          <w:bCs/>
          <w:sz w:val="24"/>
        </w:rPr>
        <w:t>——</w:t>
      </w:r>
      <w:r>
        <w:rPr>
          <w:rFonts w:hint="eastAsia" w:asciiTheme="minorEastAsia" w:hAnsiTheme="minorEastAsia" w:eastAsiaTheme="minorEastAsia" w:cstheme="minorEastAsia"/>
          <w:spacing w:val="-2"/>
          <w:sz w:val="24"/>
          <w:szCs w:val="24"/>
        </w:rPr>
        <w:t>砝码密度，取8.0000g/cm</w:t>
      </w:r>
      <w:r>
        <w:rPr>
          <w:rFonts w:hint="eastAsia" w:asciiTheme="minorEastAsia" w:hAnsiTheme="minorEastAsia" w:eastAsiaTheme="minorEastAsia" w:cstheme="minorEastAsia"/>
          <w:spacing w:val="-2"/>
          <w:sz w:val="24"/>
          <w:szCs w:val="24"/>
          <w:vertAlign w:val="superscript"/>
        </w:rPr>
        <w:t>3</w:t>
      </w:r>
      <w:r>
        <w:rPr>
          <w:rFonts w:hint="eastAsia" w:asciiTheme="minorEastAsia" w:hAnsiTheme="minorEastAsia" w:eastAsiaTheme="minorEastAsia" w:cstheme="minorEastAsia"/>
          <w:spacing w:val="-2"/>
          <w:sz w:val="24"/>
          <w:szCs w:val="24"/>
        </w:rPr>
        <w:t>；</w:t>
      </w:r>
    </w:p>
    <w:p>
      <w:pPr>
        <w:pStyle w:val="10"/>
        <w:spacing w:after="0" w:line="360" w:lineRule="auto"/>
        <w:ind w:firstLine="480" w:firstLineChars="200"/>
        <w:textAlignment w:val="baseline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0"/>
          <w:position w:val="-10"/>
          <w:sz w:val="24"/>
          <w:szCs w:val="24"/>
        </w:rPr>
        <w:object>
          <v:shape id="_x0000_i1028" o:spt="75" type="#_x0000_t75" style="height:17pt;width:16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f"/>
            <w10:wrap type="none"/>
            <w10:anchorlock/>
          </v:shape>
          <o:OLEObject Type="Embed" ProgID="Equation.3" ShapeID="_x0000_i1028" DrawAspect="Content" ObjectID="_1468075729" r:id="rId28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kern w:val="0"/>
          <w:position w:val="-12"/>
          <w:sz w:val="24"/>
          <w:szCs w:val="24"/>
        </w:rPr>
        <w:tab/>
      </w:r>
      <w:r>
        <w:rPr>
          <w:bCs/>
          <w:sz w:val="24"/>
        </w:rPr>
        <w:t>——</w:t>
      </w:r>
      <w:r>
        <w:rPr>
          <w:rFonts w:hint="eastAsia" w:asciiTheme="minorEastAsia" w:hAnsiTheme="minorEastAsia" w:eastAsiaTheme="minorEastAsia" w:cstheme="minorEastAsia"/>
          <w:spacing w:val="-1"/>
          <w:sz w:val="24"/>
          <w:szCs w:val="24"/>
        </w:rPr>
        <w:t>校准时实验室内的空气密度，取0.0012g/cm</w:t>
      </w:r>
      <w:r>
        <w:rPr>
          <w:rFonts w:hint="eastAsia" w:asciiTheme="minorEastAsia" w:hAnsiTheme="minorEastAsia" w:eastAsiaTheme="minorEastAsia" w:cstheme="minorEastAsia"/>
          <w:spacing w:val="-1"/>
          <w:sz w:val="24"/>
          <w:szCs w:val="24"/>
          <w:vertAlign w:val="superscript"/>
        </w:rPr>
        <w:t>3</w:t>
      </w:r>
      <w:r>
        <w:rPr>
          <w:rFonts w:hint="eastAsia" w:asciiTheme="minorEastAsia" w:hAnsiTheme="minorEastAsia" w:eastAsiaTheme="minorEastAsia" w:cstheme="minorEastAsia"/>
          <w:spacing w:val="-1"/>
          <w:sz w:val="24"/>
          <w:szCs w:val="24"/>
        </w:rPr>
        <w:t>；</w:t>
      </w:r>
    </w:p>
    <w:p>
      <w:pPr>
        <w:pStyle w:val="10"/>
        <w:spacing w:after="0" w:line="360" w:lineRule="auto"/>
        <w:ind w:firstLine="480" w:firstLineChars="200"/>
        <w:textAlignment w:val="baseline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0"/>
          <w:position w:val="-12"/>
          <w:sz w:val="24"/>
          <w:szCs w:val="24"/>
        </w:rPr>
        <w:object>
          <v:shape id="_x0000_i1029" o:spt="75" type="#_x0000_t75" style="height:18pt;width:18pt;" o:ole="t" filled="f" o:preferrelative="t" stroked="f" coordsize="21600,21600">
            <v:path/>
            <v:fill on="f" focussize="0,0"/>
            <v:stroke on="f"/>
            <v:imagedata r:id="rId31" o:title=""/>
            <o:lock v:ext="edit" aspectratio="f"/>
            <w10:wrap type="none"/>
            <w10:anchorlock/>
          </v:shape>
          <o:OLEObject Type="Embed" ProgID="Equation.3" ShapeID="_x0000_i1029" DrawAspect="Content" ObjectID="_1468075730" r:id="rId30">
            <o:LockedField>false</o:LockedField>
          </o:OLEObject>
        </w:object>
      </w:r>
      <w:r>
        <w:rPr>
          <w:bCs/>
          <w:sz w:val="24"/>
        </w:rPr>
        <w:t>——</w:t>
      </w:r>
      <w:r>
        <w:rPr>
          <w:rFonts w:hint="eastAsia" w:asciiTheme="minorEastAsia" w:hAnsiTheme="minorEastAsia" w:eastAsiaTheme="minorEastAsia" w:cstheme="minorEastAsia"/>
          <w:spacing w:val="-3"/>
          <w:sz w:val="24"/>
          <w:szCs w:val="24"/>
        </w:rPr>
        <w:t>纯水在</w:t>
      </w:r>
      <w:r>
        <w:rPr>
          <w:rFonts w:hint="eastAsia" w:asciiTheme="minorEastAsia" w:hAnsiTheme="minorEastAsia" w:eastAsiaTheme="minorEastAsia" w:cstheme="minorEastAsia"/>
          <w:i/>
          <w:iCs/>
          <w:spacing w:val="-3"/>
          <w:sz w:val="24"/>
          <w:szCs w:val="24"/>
        </w:rPr>
        <w:t>t</w:t>
      </w:r>
      <w:r>
        <w:rPr>
          <w:rFonts w:hint="eastAsia" w:asciiTheme="minorEastAsia" w:hAnsiTheme="minorEastAsia" w:eastAsiaTheme="minorEastAsia" w:cstheme="minorEastAsia"/>
          <w:spacing w:val="-3"/>
          <w:sz w:val="24"/>
          <w:szCs w:val="24"/>
        </w:rPr>
        <w:t>℃时的密度，g/cm</w:t>
      </w:r>
      <w:r>
        <w:rPr>
          <w:rFonts w:hint="eastAsia" w:asciiTheme="minorEastAsia" w:hAnsiTheme="minorEastAsia" w:eastAsiaTheme="minorEastAsia" w:cstheme="minorEastAsia"/>
          <w:spacing w:val="-3"/>
          <w:sz w:val="24"/>
          <w:szCs w:val="24"/>
          <w:vertAlign w:val="superscript"/>
        </w:rPr>
        <w:t>3</w:t>
      </w:r>
      <w:r>
        <w:rPr>
          <w:rFonts w:hint="eastAsia" w:asciiTheme="minorEastAsia" w:hAnsiTheme="minorEastAsia" w:eastAsiaTheme="minorEastAsia" w:cstheme="minorEastAsia"/>
          <w:spacing w:val="-3"/>
          <w:sz w:val="24"/>
          <w:szCs w:val="24"/>
        </w:rPr>
        <w:t>；</w:t>
      </w:r>
    </w:p>
    <w:p>
      <w:pPr>
        <w:pStyle w:val="10"/>
        <w:spacing w:after="0" w:line="360" w:lineRule="auto"/>
        <w:ind w:firstLine="480" w:firstLineChars="200"/>
        <w:textAlignment w:val="baseline"/>
        <w:rPr>
          <w:rFonts w:hint="eastAsia" w:asciiTheme="minorEastAsia" w:hAnsiTheme="minorEastAsia" w:eastAsiaTheme="minorEastAsia" w:cstheme="minorEastAsia"/>
          <w:spacing w:val="1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0"/>
          <w:position w:val="-10"/>
          <w:sz w:val="24"/>
          <w:szCs w:val="24"/>
        </w:rPr>
        <w:object>
          <v:shape id="_x0000_i1030" o:spt="75" type="#_x0000_t75" style="height:16pt;width:12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f"/>
            <w10:wrap type="none"/>
            <w10:anchorlock/>
          </v:shape>
          <o:OLEObject Type="Embed" ProgID="Equation.3" ShapeID="_x0000_i1030" DrawAspect="Content" ObjectID="_1468075731" r:id="rId32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i/>
          <w:iCs/>
          <w:spacing w:val="1"/>
          <w:sz w:val="24"/>
          <w:szCs w:val="24"/>
        </w:rPr>
        <w:tab/>
      </w:r>
      <w:r>
        <w:rPr>
          <w:bCs/>
          <w:sz w:val="24"/>
        </w:rPr>
        <w:t>——</w:t>
      </w:r>
      <w:r>
        <w:rPr>
          <w:rFonts w:hint="eastAsia" w:asciiTheme="minorEastAsia" w:hAnsiTheme="minorEastAsia" w:eastAsiaTheme="minorEastAsia" w:cstheme="minorEastAsia"/>
          <w:spacing w:val="1"/>
          <w:sz w:val="24"/>
          <w:szCs w:val="24"/>
        </w:rPr>
        <w:t>被校微量进样器的体胀系数（见附录</w:t>
      </w:r>
      <w:r>
        <w:rPr>
          <w:rFonts w:hint="eastAsia" w:asciiTheme="minorEastAsia" w:hAnsiTheme="minorEastAsia" w:eastAsiaTheme="minorEastAsia" w:cstheme="minorEastAsia"/>
          <w:spacing w:val="1"/>
          <w:sz w:val="24"/>
          <w:szCs w:val="24"/>
          <w:lang w:val="en-US" w:eastAsia="zh-CN"/>
        </w:rPr>
        <w:t>E</w:t>
      </w:r>
      <w:r>
        <w:rPr>
          <w:rFonts w:hint="eastAsia" w:asciiTheme="minorEastAsia" w:hAnsiTheme="minorEastAsia" w:eastAsiaTheme="minorEastAsia" w:cstheme="minorEastAsia"/>
          <w:spacing w:val="1"/>
          <w:sz w:val="24"/>
          <w:szCs w:val="24"/>
        </w:rPr>
        <w:t>），℃</w:t>
      </w:r>
      <w:r>
        <w:rPr>
          <w:rFonts w:hint="eastAsia" w:asciiTheme="minorEastAsia" w:hAnsiTheme="minorEastAsia" w:eastAsiaTheme="minorEastAsia" w:cstheme="minorEastAsia"/>
          <w:spacing w:val="1"/>
          <w:sz w:val="24"/>
          <w:szCs w:val="24"/>
          <w:vertAlign w:val="superscript"/>
        </w:rPr>
        <w:t>-1</w:t>
      </w:r>
      <w:r>
        <w:rPr>
          <w:rFonts w:hint="eastAsia" w:asciiTheme="minorEastAsia" w:hAnsiTheme="minorEastAsia" w:eastAsiaTheme="minorEastAsia" w:cstheme="minorEastAsia"/>
          <w:spacing w:val="1"/>
          <w:sz w:val="24"/>
          <w:szCs w:val="24"/>
        </w:rPr>
        <w:t>；</w:t>
      </w:r>
    </w:p>
    <w:p>
      <w:pPr>
        <w:pStyle w:val="10"/>
        <w:spacing w:after="0" w:line="360" w:lineRule="auto"/>
        <w:ind w:firstLine="464" w:firstLineChars="200"/>
        <w:textAlignment w:val="baseline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i/>
          <w:iCs/>
          <w:spacing w:val="-4"/>
          <w:sz w:val="24"/>
          <w:szCs w:val="24"/>
        </w:rPr>
        <w:t>t</w:t>
      </w:r>
      <w:r>
        <w:rPr>
          <w:rFonts w:hint="eastAsia" w:asciiTheme="minorEastAsia" w:hAnsiTheme="minorEastAsia" w:eastAsiaTheme="minorEastAsia" w:cstheme="minorEastAsia"/>
          <w:i/>
          <w:iCs/>
          <w:spacing w:val="-4"/>
          <w:sz w:val="24"/>
          <w:szCs w:val="24"/>
        </w:rPr>
        <w:tab/>
      </w:r>
      <w:r>
        <w:rPr>
          <w:bCs/>
          <w:sz w:val="24"/>
        </w:rPr>
        <w:t>——</w:t>
      </w:r>
      <w:r>
        <w:rPr>
          <w:rFonts w:hint="eastAsia" w:asciiTheme="minorEastAsia" w:hAnsiTheme="minorEastAsia" w:eastAsiaTheme="minorEastAsia" w:cstheme="minorEastAsia"/>
          <w:spacing w:val="-4"/>
          <w:sz w:val="24"/>
          <w:szCs w:val="24"/>
        </w:rPr>
        <w:t>校准时纯水的温度，℃。</w:t>
      </w:r>
    </w:p>
    <w:p>
      <w:pPr>
        <w:snapToGrid w:val="0"/>
        <w:spacing w:line="360" w:lineRule="auto"/>
        <w:ind w:firstLine="480" w:firstLineChars="200"/>
        <w:textAlignment w:val="baseline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为简便计算过程，也可将上式（1）化为下列形式：</w:t>
      </w:r>
    </w:p>
    <w:p>
      <w:pPr>
        <w:snapToGrid w:val="0"/>
        <w:spacing w:line="360" w:lineRule="auto"/>
        <w:ind w:firstLine="480" w:firstLineChars="200"/>
        <w:jc w:val="right"/>
        <w:textAlignment w:val="baseline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0"/>
          <w:position w:val="-14"/>
          <w:sz w:val="24"/>
          <w:szCs w:val="24"/>
        </w:rPr>
        <w:object>
          <v:shape id="_x0000_i1031" o:spt="75" type="#_x0000_t75" style="height:20pt;width:69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f"/>
            <w10:wrap type="none"/>
            <w10:anchorlock/>
          </v:shape>
          <o:OLEObject Type="Embed" ProgID="Equation.3" ShapeID="_x0000_i1031" DrawAspect="Content" ObjectID="_1468075732" r:id="rId34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 xml:space="preserve">                          （2）</w:t>
      </w:r>
    </w:p>
    <w:p>
      <w:pPr>
        <w:snapToGrid w:val="0"/>
        <w:spacing w:line="360" w:lineRule="auto"/>
        <w:ind w:firstLine="480" w:firstLineChars="200"/>
        <w:textAlignment w:val="baseline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 xml:space="preserve">其中：               </w:t>
      </w:r>
      <w:r>
        <w:rPr>
          <w:rFonts w:hint="eastAsia" w:asciiTheme="minorEastAsia" w:hAnsiTheme="minorEastAsia" w:eastAsiaTheme="minorEastAsia" w:cstheme="minorEastAsia"/>
          <w:kern w:val="0"/>
          <w:position w:val="-30"/>
          <w:sz w:val="24"/>
          <w:szCs w:val="24"/>
        </w:rPr>
        <w:object>
          <v:shape id="_x0000_i1032" o:spt="75" type="#_x0000_t75" style="height:34pt;width:168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f"/>
            <w10:wrap type="none"/>
            <w10:anchorlock/>
          </v:shape>
          <o:OLEObject Type="Embed" ProgID="Equation.3" ShapeID="_x0000_i1032" DrawAspect="Content" ObjectID="_1468075733" r:id="rId36">
            <o:LockedField>false</o:LockedField>
          </o:OLEObject>
        </w:object>
      </w:r>
    </w:p>
    <w:p>
      <w:pPr>
        <w:snapToGrid w:val="0"/>
        <w:spacing w:line="360" w:lineRule="auto"/>
        <w:ind w:firstLine="480" w:firstLineChars="200"/>
        <w:textAlignment w:val="baseline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0"/>
          <w:position w:val="-14"/>
          <w:sz w:val="24"/>
          <w:szCs w:val="24"/>
        </w:rPr>
        <w:object>
          <v:shape id="_x0000_i1033" o:spt="75" type="#_x0000_t75" style="height:20pt;width:28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f"/>
            <w10:wrap type="none"/>
            <w10:anchorlock/>
          </v:shape>
          <o:OLEObject Type="Embed" ProgID="Equation.3" ShapeID="_x0000_i1033" DrawAspect="Content" ObjectID="_1468075734" r:id="rId38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值列于附录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  <w:t>E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中，根据测定的质量</w:t>
      </w:r>
      <w:r>
        <w:rPr>
          <w:rFonts w:hint="default" w:ascii="Times New Roman" w:hAnsi="Times New Roman" w:cs="Times New Roman" w:eastAsiaTheme="minorEastAsia"/>
          <w:i/>
          <w:iCs/>
          <w:kern w:val="0"/>
          <w:sz w:val="24"/>
          <w:szCs w:val="24"/>
        </w:rPr>
        <w:t>m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和测定水温所对应的</w:t>
      </w:r>
      <w:r>
        <w:rPr>
          <w:rFonts w:hint="eastAsia" w:asciiTheme="minorEastAsia" w:hAnsiTheme="minorEastAsia" w:eastAsiaTheme="minorEastAsia" w:cstheme="minorEastAsia"/>
          <w:kern w:val="0"/>
          <w:position w:val="-14"/>
          <w:sz w:val="24"/>
          <w:szCs w:val="24"/>
        </w:rPr>
        <w:object>
          <v:shape id="_x0000_i1034" o:spt="75" type="#_x0000_t75" style="height:20pt;width:28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f"/>
            <w10:wrap type="none"/>
            <w10:anchorlock/>
          </v:shape>
          <o:OLEObject Type="Embed" ProgID="Equation.3" ShapeID="_x0000_i1034" DrawAspect="Content" ObjectID="_1468075735" r:id="rId39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值，即可由式（2）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求出被校微量进样器在标准温度20℃时的实际容量值。</w:t>
      </w:r>
    </w:p>
    <w:p>
      <w:pPr>
        <w:snapToGrid w:val="0"/>
        <w:spacing w:line="360" w:lineRule="auto"/>
        <w:textAlignment w:val="baseline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7.1.6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微量进样器的容量相对误差按公式（3）进行计算。</w:t>
      </w:r>
    </w:p>
    <w:p>
      <w:pPr>
        <w:snapToGrid w:val="0"/>
        <w:spacing w:line="360" w:lineRule="auto"/>
        <w:jc w:val="right"/>
        <w:textAlignment w:val="baseline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/>
          <w:iCs/>
          <w:position w:val="-26"/>
          <w:sz w:val="24"/>
          <w:szCs w:val="24"/>
        </w:rPr>
        <w:object>
          <v:shape id="_x0000_i1035" o:spt="75" type="#_x0000_t75" style="height:34pt;width:89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f"/>
            <w10:wrap type="none"/>
            <w10:anchorlock/>
          </v:shape>
          <o:OLEObject Type="Embed" ProgID="Equation.3" ShapeID="_x0000_i1035" DrawAspect="Content" ObjectID="_1468075736" r:id="rId40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 xml:space="preserve">                         （3）</w:t>
      </w:r>
    </w:p>
    <w:p>
      <w:pPr>
        <w:snapToGrid w:val="0"/>
        <w:spacing w:line="360" w:lineRule="auto"/>
        <w:ind w:firstLine="480" w:firstLineChars="200"/>
        <w:textAlignment w:val="baseline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式中：</w:t>
      </w:r>
    </w:p>
    <w:p>
      <w:pPr>
        <w:snapToGrid w:val="0"/>
        <w:spacing w:line="360" w:lineRule="auto"/>
        <w:ind w:firstLine="480" w:firstLineChars="200"/>
        <w:textAlignment w:val="baseline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i/>
          <w:iCs/>
          <w:kern w:val="0"/>
          <w:sz w:val="24"/>
          <w:szCs w:val="24"/>
        </w:rPr>
        <w:t>E</w:t>
      </w:r>
      <w:r>
        <w:rPr>
          <w:rFonts w:hint="eastAsia" w:asciiTheme="minorEastAsia" w:hAnsiTheme="minorEastAsia" w:eastAsiaTheme="minorEastAsia" w:cstheme="minorEastAsia"/>
          <w:i/>
          <w:iCs/>
          <w:kern w:val="0"/>
          <w:sz w:val="24"/>
          <w:szCs w:val="24"/>
        </w:rPr>
        <w:tab/>
      </w:r>
      <w:r>
        <w:rPr>
          <w:bCs/>
          <w:sz w:val="24"/>
        </w:rPr>
        <w:t>——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容量相对误差，%；</w:t>
      </w:r>
    </w:p>
    <w:p>
      <w:pPr>
        <w:snapToGrid w:val="0"/>
        <w:spacing w:line="360" w:lineRule="auto"/>
        <w:ind w:firstLine="480" w:firstLineChars="200"/>
        <w:textAlignment w:val="baseline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i/>
          <w:iCs/>
          <w:kern w:val="0"/>
          <w:sz w:val="24"/>
          <w:szCs w:val="24"/>
        </w:rPr>
        <w:t>V</w:t>
      </w:r>
      <w:r>
        <w:rPr>
          <w:rFonts w:hint="eastAsia" w:asciiTheme="minorEastAsia" w:hAnsiTheme="minorEastAsia" w:eastAsiaTheme="minorEastAsia" w:cstheme="minorEastAsia"/>
          <w:i/>
          <w:iCs/>
          <w:kern w:val="0"/>
          <w:sz w:val="24"/>
          <w:szCs w:val="24"/>
        </w:rPr>
        <w:tab/>
      </w:r>
      <w:r>
        <w:rPr>
          <w:bCs/>
          <w:sz w:val="24"/>
        </w:rPr>
        <w:t>——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容量标称值，μL；</w:t>
      </w:r>
    </w:p>
    <w:p>
      <w:pPr>
        <w:snapToGrid w:val="0"/>
        <w:spacing w:line="360" w:lineRule="auto"/>
        <w:ind w:firstLine="480" w:firstLineChars="200"/>
        <w:textAlignment w:val="baseline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0"/>
          <w:position w:val="-6"/>
          <w:sz w:val="24"/>
          <w:szCs w:val="24"/>
        </w:rPr>
        <w:object>
          <v:shape id="_x0000_i1036" o:spt="75" type="#_x0000_t75" style="height:16.2pt;width:12.1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KSEE3" ShapeID="_x0000_i1036" DrawAspect="Content" ObjectID="_1468075737" r:id="rId42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ab/>
      </w:r>
      <w:r>
        <w:rPr>
          <w:bCs/>
          <w:sz w:val="24"/>
        </w:rPr>
        <w:t>——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六次测量的算术平均值，μL。</w:t>
      </w:r>
    </w:p>
    <w:p>
      <w:pPr>
        <w:pStyle w:val="3"/>
        <w:spacing w:line="360" w:lineRule="auto"/>
        <w:ind w:firstLine="0" w:firstLineChars="0"/>
        <w:jc w:val="both"/>
        <w:textAlignment w:val="center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bookmarkStart w:id="27" w:name="_Toc5972"/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7.2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 xml:space="preserve"> 容量重复性</w:t>
      </w:r>
      <w:bookmarkEnd w:id="27"/>
    </w:p>
    <w:p>
      <w:pPr>
        <w:snapToGrid w:val="0"/>
        <w:spacing w:line="360" w:lineRule="auto"/>
        <w:ind w:firstLine="480" w:firstLineChars="200"/>
        <w:textAlignment w:val="baseline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微量进样器容量重复性采用7.1测量数据，按公式（4）（5）进行计算。</w:t>
      </w:r>
    </w:p>
    <w:p>
      <w:pPr>
        <w:snapToGrid w:val="0"/>
        <w:spacing w:line="360" w:lineRule="auto"/>
        <w:ind w:firstLine="480" w:firstLineChars="200"/>
        <w:jc w:val="right"/>
        <w:textAlignment w:val="baseline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position w:val="-26"/>
          <w:sz w:val="24"/>
          <w:szCs w:val="24"/>
        </w:rPr>
        <w:object>
          <v:shape id="_x0000_i1037" o:spt="75" type="#_x0000_t75" style="height:54pt;width:83.1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f"/>
            <w10:wrap type="none"/>
            <w10:anchorlock/>
          </v:shape>
          <o:OLEObject Type="Embed" ProgID="Equation.3" ShapeID="_x0000_i1037" DrawAspect="Content" ObjectID="_1468075738" r:id="rId44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 xml:space="preserve">                         （4）</w:t>
      </w:r>
    </w:p>
    <w:p>
      <w:pPr>
        <w:snapToGrid w:val="0"/>
        <w:spacing w:line="360" w:lineRule="auto"/>
        <w:ind w:firstLine="480" w:firstLineChars="200"/>
        <w:jc w:val="right"/>
        <w:textAlignment w:val="baseline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position w:val="-24"/>
          <w:sz w:val="24"/>
          <w:szCs w:val="24"/>
        </w:rPr>
        <w:object>
          <v:shape id="_x0000_i1038" o:spt="75" type="#_x0000_t75" style="height:31pt;width:78.1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f"/>
            <w10:wrap type="none"/>
            <w10:anchorlock/>
          </v:shape>
          <o:OLEObject Type="Embed" ProgID="Equation.3" ShapeID="_x0000_i1038" DrawAspect="Content" ObjectID="_1468075739" r:id="rId46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 xml:space="preserve">                         （5）</w:t>
      </w:r>
    </w:p>
    <w:p>
      <w:pPr>
        <w:snapToGrid w:val="0"/>
        <w:spacing w:line="360" w:lineRule="auto"/>
        <w:ind w:firstLine="480" w:firstLineChars="200"/>
        <w:textAlignment w:val="baseline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式中：</w:t>
      </w:r>
    </w:p>
    <w:p>
      <w:pPr>
        <w:snapToGrid w:val="0"/>
        <w:spacing w:line="360" w:lineRule="auto"/>
        <w:ind w:firstLine="480" w:firstLineChars="200"/>
        <w:textAlignment w:val="baseline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position w:val="-12"/>
          <w:sz w:val="24"/>
          <w:szCs w:val="24"/>
        </w:rPr>
        <w:object>
          <v:shape id="_x0000_i1039" o:spt="75" type="#_x0000_t75" style="height:18pt;width:22.0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f"/>
            <w10:wrap type="none"/>
            <w10:anchorlock/>
          </v:shape>
          <o:OLEObject Type="Embed" ProgID="Equation.3" ShapeID="_x0000_i1039" DrawAspect="Content" ObjectID="_1468075740" r:id="rId48">
            <o:LockedField>false</o:LockedField>
          </o:OLEObject>
        </w:object>
      </w:r>
      <w:r>
        <w:rPr>
          <w:bCs/>
          <w:sz w:val="24"/>
        </w:rPr>
        <w:t>——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标准偏差，μL；</w:t>
      </w:r>
    </w:p>
    <w:p>
      <w:pPr>
        <w:snapToGrid w:val="0"/>
        <w:spacing w:line="360" w:lineRule="auto"/>
        <w:ind w:firstLine="480" w:firstLineChars="200"/>
        <w:textAlignment w:val="baseline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/>
          <w:iCs/>
          <w:kern w:val="0"/>
          <w:sz w:val="24"/>
          <w:szCs w:val="24"/>
        </w:rPr>
        <w:t>n</w:t>
      </w:r>
      <w:r>
        <w:rPr>
          <w:rFonts w:hint="eastAsia" w:asciiTheme="minorEastAsia" w:hAnsiTheme="minorEastAsia" w:eastAsiaTheme="minorEastAsia" w:cstheme="minorEastAsia"/>
          <w:i/>
          <w:iCs/>
          <w:kern w:val="0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i/>
          <w:iCs/>
          <w:kern w:val="0"/>
          <w:sz w:val="24"/>
          <w:szCs w:val="24"/>
          <w:lang w:val="en-US" w:eastAsia="zh-CN"/>
        </w:rPr>
        <w:t xml:space="preserve"> </w:t>
      </w:r>
      <w:r>
        <w:rPr>
          <w:bCs/>
          <w:sz w:val="24"/>
        </w:rPr>
        <w:t>——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测量次数；</w:t>
      </w:r>
    </w:p>
    <w:p>
      <w:pPr>
        <w:snapToGrid w:val="0"/>
        <w:spacing w:line="360" w:lineRule="auto"/>
        <w:ind w:firstLine="480" w:firstLineChars="200"/>
        <w:textAlignment w:val="baseline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position w:val="-12"/>
          <w:sz w:val="24"/>
          <w:szCs w:val="24"/>
        </w:rPr>
        <w:object>
          <v:shape id="_x0000_i1040" o:spt="75" type="#_x0000_t75" style="height:18pt;width:11.1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f"/>
            <w10:wrap type="none"/>
            <w10:anchorlock/>
          </v:shape>
          <o:OLEObject Type="Embed" ProgID="Equation.3" ShapeID="_x0000_i1040" DrawAspect="Content" ObjectID="_1468075741" r:id="rId50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position w:val="-38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position w:val="-38"/>
          <w:sz w:val="24"/>
          <w:szCs w:val="24"/>
          <w:lang w:val="en-US" w:eastAsia="zh-CN"/>
        </w:rPr>
        <w:t xml:space="preserve"> </w:t>
      </w:r>
      <w:r>
        <w:rPr>
          <w:bCs/>
          <w:sz w:val="24"/>
        </w:rPr>
        <w:t>——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单次测量值与被测量的平均值之差，μL；</w:t>
      </w:r>
    </w:p>
    <w:p>
      <w:pPr>
        <w:snapToGrid w:val="0"/>
        <w:spacing w:line="360" w:lineRule="auto"/>
        <w:ind w:firstLine="480" w:firstLineChars="200"/>
        <w:textAlignment w:val="baseline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/>
          <w:iCs/>
          <w:kern w:val="0"/>
          <w:sz w:val="24"/>
          <w:szCs w:val="24"/>
        </w:rPr>
        <w:t>s</w:t>
      </w:r>
      <w:r>
        <w:rPr>
          <w:rFonts w:hint="eastAsia" w:asciiTheme="minorEastAsia" w:hAnsiTheme="minorEastAsia" w:eastAsiaTheme="minorEastAsia" w:cstheme="minorEastAsia"/>
          <w:i/>
          <w:iCs/>
          <w:kern w:val="0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i/>
          <w:iCs/>
          <w:kern w:val="0"/>
          <w:sz w:val="24"/>
          <w:szCs w:val="24"/>
          <w:lang w:val="en-US" w:eastAsia="zh-CN"/>
        </w:rPr>
        <w:t xml:space="preserve"> </w:t>
      </w:r>
      <w:r>
        <w:rPr>
          <w:bCs/>
          <w:sz w:val="24"/>
        </w:rPr>
        <w:t>——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容量重复性。</w:t>
      </w:r>
    </w:p>
    <w:p>
      <w:pPr>
        <w:pStyle w:val="2"/>
        <w:pageBreakBefore w:val="0"/>
        <w:kinsoku/>
        <w:wordWrap/>
        <w:overflowPunct/>
        <w:topLinePunct w:val="0"/>
        <w:bidi w:val="0"/>
        <w:spacing w:line="360" w:lineRule="auto"/>
        <w:jc w:val="both"/>
        <w:textAlignment w:val="center"/>
        <w:rPr>
          <w:rFonts w:hint="eastAsia" w:ascii="黑体" w:hAnsi="黑体" w:eastAsia="黑体" w:cs="黑体"/>
          <w:bCs/>
          <w:caps w:val="0"/>
          <w:color w:val="auto"/>
          <w:spacing w:val="0"/>
          <w:position w:val="0"/>
          <w:sz w:val="24"/>
        </w:rPr>
      </w:pPr>
      <w:bookmarkStart w:id="28" w:name="_Toc15651"/>
      <w:r>
        <w:rPr>
          <w:rFonts w:hint="eastAsia" w:ascii="黑体" w:hAnsi="黑体" w:eastAsia="黑体" w:cs="黑体"/>
          <w:bCs/>
          <w:caps w:val="0"/>
          <w:color w:val="auto"/>
          <w:spacing w:val="0"/>
          <w:position w:val="0"/>
          <w:sz w:val="24"/>
        </w:rPr>
        <w:t>8  校准结果表达</w:t>
      </w:r>
      <w:bookmarkEnd w:id="28"/>
    </w:p>
    <w:p>
      <w:pPr>
        <w:pStyle w:val="33"/>
        <w:spacing w:line="360" w:lineRule="auto"/>
        <w:ind w:firstLine="480" w:firstLineChars="200"/>
        <w:jc w:val="both"/>
        <w:textAlignment w:val="center"/>
        <w:rPr>
          <w:rFonts w:ascii="宋体" w:hAnsi="宋体" w:eastAsia="宋体" w:cs="Times New Roman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Times New Roman"/>
          <w:color w:val="auto"/>
          <w:kern w:val="2"/>
          <w:sz w:val="24"/>
          <w:szCs w:val="24"/>
          <w:lang w:val="en-US" w:eastAsia="zh-CN" w:bidi="ar-SA"/>
        </w:rPr>
        <w:t>经校准的微量进样器出具校准证书，给出校准结果以及校准不确定度。校准原始记录格式见附录A（推荐性），校准证书内页格式见附录B（推荐性）。</w:t>
      </w:r>
    </w:p>
    <w:p>
      <w:pPr>
        <w:pStyle w:val="2"/>
        <w:pageBreakBefore w:val="0"/>
        <w:kinsoku/>
        <w:wordWrap/>
        <w:overflowPunct/>
        <w:topLinePunct w:val="0"/>
        <w:bidi w:val="0"/>
        <w:spacing w:line="360" w:lineRule="auto"/>
        <w:jc w:val="both"/>
        <w:textAlignment w:val="center"/>
        <w:rPr>
          <w:rFonts w:hint="eastAsia" w:ascii="黑体" w:hAnsi="黑体" w:eastAsia="黑体" w:cs="黑体"/>
          <w:bCs/>
          <w:caps w:val="0"/>
          <w:color w:val="auto"/>
          <w:spacing w:val="0"/>
          <w:position w:val="0"/>
          <w:sz w:val="24"/>
        </w:rPr>
      </w:pPr>
      <w:bookmarkStart w:id="29" w:name="_Toc11998"/>
      <w:r>
        <w:rPr>
          <w:rFonts w:hint="eastAsia" w:ascii="黑体" w:hAnsi="黑体" w:eastAsia="黑体" w:cs="黑体"/>
          <w:bCs/>
          <w:caps w:val="0"/>
          <w:color w:val="auto"/>
          <w:spacing w:val="0"/>
          <w:position w:val="0"/>
          <w:sz w:val="24"/>
        </w:rPr>
        <w:t>9  复校时间间隔</w:t>
      </w:r>
      <w:bookmarkEnd w:id="29"/>
    </w:p>
    <w:p>
      <w:pPr>
        <w:pStyle w:val="33"/>
        <w:spacing w:line="360" w:lineRule="auto"/>
        <w:ind w:firstLine="480" w:firstLineChars="200"/>
        <w:jc w:val="both"/>
        <w:textAlignment w:val="center"/>
        <w:rPr>
          <w:rFonts w:ascii="宋体" w:hAnsi="宋体" w:eastAsia="宋体" w:cs="Times New Roman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Times New Roman"/>
          <w:color w:val="auto"/>
          <w:kern w:val="2"/>
          <w:sz w:val="24"/>
          <w:szCs w:val="24"/>
          <w:lang w:val="en-US" w:eastAsia="zh-CN" w:bidi="ar-SA"/>
        </w:rPr>
        <w:t>微量进样器的</w:t>
      </w:r>
      <w:r>
        <w:rPr>
          <w:rFonts w:ascii="宋体" w:hAnsi="宋体" w:eastAsia="宋体" w:cs="Times New Roman"/>
          <w:color w:val="auto"/>
          <w:kern w:val="2"/>
          <w:sz w:val="24"/>
          <w:szCs w:val="24"/>
          <w:lang w:val="en-US" w:eastAsia="zh-CN" w:bidi="ar-SA"/>
        </w:rPr>
        <w:t>复校时间间隔受仪器使用情况、使用者和仪器本身属性等诸多因素的制约。</w:t>
      </w:r>
      <w:r>
        <w:rPr>
          <w:rFonts w:hint="eastAsia" w:ascii="宋体" w:hAnsi="宋体" w:eastAsia="宋体" w:cs="Times New Roman"/>
          <w:color w:val="auto"/>
          <w:kern w:val="2"/>
          <w:sz w:val="24"/>
          <w:szCs w:val="24"/>
          <w:lang w:val="en-US" w:eastAsia="zh-CN" w:bidi="ar-SA"/>
        </w:rPr>
        <w:t>委托</w:t>
      </w:r>
      <w:r>
        <w:rPr>
          <w:rFonts w:ascii="宋体" w:hAnsi="宋体" w:eastAsia="宋体" w:cs="Times New Roman"/>
          <w:color w:val="auto"/>
          <w:kern w:val="2"/>
          <w:sz w:val="24"/>
          <w:szCs w:val="24"/>
          <w:lang w:val="en-US" w:eastAsia="zh-CN" w:bidi="ar-SA"/>
        </w:rPr>
        <w:t>单位可根据实际情况确定复校时间间隔</w:t>
      </w:r>
      <w:r>
        <w:rPr>
          <w:rFonts w:hint="eastAsia" w:hAnsi="宋体" w:cs="Times New Roman"/>
          <w:color w:val="auto"/>
          <w:kern w:val="2"/>
          <w:sz w:val="24"/>
          <w:szCs w:val="24"/>
          <w:lang w:val="en-US" w:eastAsia="zh-CN" w:bidi="ar-SA"/>
        </w:rPr>
        <w:t>，</w:t>
      </w:r>
      <w:r>
        <w:rPr>
          <w:rFonts w:ascii="宋体" w:hAnsi="宋体" w:eastAsia="宋体" w:cs="Times New Roman"/>
          <w:color w:val="auto"/>
          <w:kern w:val="2"/>
          <w:sz w:val="24"/>
          <w:szCs w:val="24"/>
          <w:lang w:val="en-US" w:eastAsia="zh-CN" w:bidi="ar-SA"/>
        </w:rPr>
        <w:t>建议复校时间间隔</w:t>
      </w:r>
      <w:r>
        <w:rPr>
          <w:rFonts w:hint="eastAsia" w:hAnsi="宋体" w:cs="Times New Roman"/>
          <w:color w:val="auto"/>
          <w:kern w:val="2"/>
          <w:sz w:val="24"/>
          <w:szCs w:val="24"/>
          <w:lang w:val="en-US" w:eastAsia="zh-CN" w:bidi="ar-SA"/>
        </w:rPr>
        <w:t>不超过</w:t>
      </w:r>
      <w:r>
        <w:rPr>
          <w:rFonts w:ascii="宋体" w:hAnsi="宋体" w:eastAsia="宋体" w:cs="Times New Roman"/>
          <w:color w:val="auto"/>
          <w:kern w:val="2"/>
          <w:sz w:val="24"/>
          <w:szCs w:val="24"/>
          <w:lang w:val="en-US" w:eastAsia="zh-CN" w:bidi="ar-SA"/>
        </w:rPr>
        <w:t>为1年。</w:t>
      </w:r>
    </w:p>
    <w:p>
      <w:pPr>
        <w:pStyle w:val="13"/>
        <w:spacing w:line="360" w:lineRule="auto"/>
        <w:ind w:right="11"/>
        <w:textAlignment w:val="center"/>
        <w:rPr>
          <w:rFonts w:ascii="宋体" w:hAnsi="宋体" w:eastAsia="宋体" w:cs="Times New Roman"/>
          <w:color w:val="auto"/>
          <w:kern w:val="2"/>
          <w:sz w:val="24"/>
          <w:szCs w:val="24"/>
          <w:lang w:val="en-US" w:eastAsia="zh-CN" w:bidi="ar-SA"/>
        </w:rPr>
        <w:sectPr>
          <w:headerReference r:id="rId11" w:type="default"/>
          <w:footerReference r:id="rId12" w:type="default"/>
          <w:pgSz w:w="11906" w:h="16838"/>
          <w:pgMar w:top="1701" w:right="1417" w:bottom="1057" w:left="1417" w:header="1247" w:footer="850" w:gutter="0"/>
          <w:pgNumType w:start="1"/>
          <w:cols w:space="720" w:num="1"/>
          <w:docGrid w:type="lines" w:linePitch="312" w:charSpace="0"/>
        </w:sectPr>
      </w:pPr>
    </w:p>
    <w:p>
      <w:pPr>
        <w:pStyle w:val="13"/>
        <w:spacing w:line="360" w:lineRule="auto"/>
        <w:ind w:left="2880" w:right="11" w:hanging="2520" w:hangingChars="900"/>
        <w:textAlignment w:val="center"/>
        <w:outlineLvl w:val="0"/>
        <w:rPr>
          <w:rFonts w:hint="eastAsia" w:ascii="黑体" w:hAnsi="黑体" w:eastAsia="黑体" w:cs="黑体"/>
          <w:sz w:val="28"/>
          <w:szCs w:val="28"/>
        </w:rPr>
      </w:pPr>
      <w:bookmarkStart w:id="30" w:name="_Toc22506"/>
      <w:r>
        <w:rPr>
          <w:rFonts w:hint="eastAsia" w:ascii="黑体" w:hAnsi="黑体" w:eastAsia="黑体" w:cs="黑体"/>
          <w:sz w:val="28"/>
          <w:szCs w:val="28"/>
        </w:rPr>
        <w:t>附录A</w:t>
      </w:r>
      <w:bookmarkEnd w:id="30"/>
      <w:r>
        <w:rPr>
          <w:rFonts w:hint="eastAsia" w:ascii="黑体" w:hAnsi="黑体" w:eastAsia="黑体" w:cs="黑体"/>
          <w:sz w:val="28"/>
          <w:szCs w:val="28"/>
        </w:rPr>
        <w:t xml:space="preserve"> </w:t>
      </w:r>
    </w:p>
    <w:p>
      <w:pPr>
        <w:pStyle w:val="13"/>
        <w:pageBreakBefore w:val="0"/>
        <w:kinsoku/>
        <w:wordWrap/>
        <w:overflowPunct/>
        <w:topLinePunct w:val="0"/>
        <w:bidi w:val="0"/>
        <w:spacing w:line="360" w:lineRule="auto"/>
        <w:ind w:left="1680" w:right="11" w:hanging="1680" w:hangingChars="600"/>
        <w:jc w:val="center"/>
        <w:textAlignment w:val="center"/>
        <w:outlineLvl w:val="0"/>
        <w:rPr>
          <w:rFonts w:hint="eastAsia" w:ascii="Times New Roman" w:hAnsi="Times New Roman" w:eastAsia="黑体" w:cs="Times New Roman"/>
          <w:caps w:val="0"/>
          <w:color w:val="auto"/>
          <w:spacing w:val="0"/>
          <w:position w:val="0"/>
          <w:sz w:val="28"/>
          <w:szCs w:val="28"/>
          <w:lang w:val="en-US" w:eastAsia="zh-CN"/>
        </w:rPr>
      </w:pPr>
      <w:bookmarkStart w:id="31" w:name="_Toc11005"/>
      <w:r>
        <w:rPr>
          <w:rFonts w:hint="eastAsia" w:ascii="Times New Roman" w:hAnsi="Times New Roman" w:eastAsia="黑体" w:cs="Times New Roman"/>
          <w:caps w:val="0"/>
          <w:color w:val="auto"/>
          <w:spacing w:val="0"/>
          <w:position w:val="0"/>
          <w:sz w:val="28"/>
          <w:szCs w:val="28"/>
          <w:lang w:val="en-US" w:eastAsia="zh-CN"/>
        </w:rPr>
        <w:t>微量进样器校准记录格式（推荐性）</w:t>
      </w:r>
      <w:bookmarkEnd w:id="31"/>
    </w:p>
    <w:tbl>
      <w:tblPr>
        <w:tblStyle w:val="2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5"/>
        <w:gridCol w:w="60"/>
        <w:gridCol w:w="1602"/>
        <w:gridCol w:w="1322"/>
        <w:gridCol w:w="1498"/>
        <w:gridCol w:w="15"/>
        <w:gridCol w:w="2888"/>
        <w:gridCol w:w="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atLeast"/>
          <w:jc w:val="center"/>
        </w:trPr>
        <w:tc>
          <w:tcPr>
            <w:tcW w:w="1435" w:type="dxa"/>
            <w:vAlign w:val="center"/>
          </w:tcPr>
          <w:p>
            <w:pPr>
              <w:pStyle w:val="13"/>
              <w:tabs>
                <w:tab w:val="left" w:pos="765"/>
                <w:tab w:val="left" w:pos="930"/>
              </w:tabs>
              <w:adjustRightInd w:val="0"/>
              <w:snapToGrid w:val="0"/>
              <w:ind w:right="11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委托单位</w:t>
            </w:r>
          </w:p>
        </w:tc>
        <w:tc>
          <w:tcPr>
            <w:tcW w:w="2984" w:type="dxa"/>
            <w:gridSpan w:val="3"/>
            <w:vAlign w:val="center"/>
          </w:tcPr>
          <w:p>
            <w:pPr>
              <w:pStyle w:val="13"/>
              <w:tabs>
                <w:tab w:val="left" w:pos="765"/>
                <w:tab w:val="left" w:pos="930"/>
              </w:tabs>
              <w:adjustRightInd w:val="0"/>
              <w:snapToGrid w:val="0"/>
              <w:ind w:right="11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513" w:type="dxa"/>
            <w:gridSpan w:val="2"/>
            <w:vAlign w:val="center"/>
          </w:tcPr>
          <w:p>
            <w:pPr>
              <w:pStyle w:val="13"/>
              <w:tabs>
                <w:tab w:val="left" w:pos="765"/>
                <w:tab w:val="left" w:pos="930"/>
              </w:tabs>
              <w:adjustRightInd w:val="0"/>
              <w:snapToGrid w:val="0"/>
              <w:ind w:right="11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证书编号</w:t>
            </w:r>
          </w:p>
        </w:tc>
        <w:tc>
          <w:tcPr>
            <w:tcW w:w="2906" w:type="dxa"/>
            <w:gridSpan w:val="2"/>
            <w:vAlign w:val="center"/>
          </w:tcPr>
          <w:p>
            <w:pPr>
              <w:pStyle w:val="13"/>
              <w:tabs>
                <w:tab w:val="left" w:pos="765"/>
                <w:tab w:val="left" w:pos="930"/>
              </w:tabs>
              <w:adjustRightInd w:val="0"/>
              <w:snapToGrid w:val="0"/>
              <w:ind w:right="11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atLeast"/>
          <w:jc w:val="center"/>
        </w:trPr>
        <w:tc>
          <w:tcPr>
            <w:tcW w:w="1435" w:type="dxa"/>
            <w:vAlign w:val="center"/>
          </w:tcPr>
          <w:p>
            <w:pPr>
              <w:pStyle w:val="13"/>
              <w:tabs>
                <w:tab w:val="left" w:pos="765"/>
                <w:tab w:val="left" w:pos="930"/>
              </w:tabs>
              <w:adjustRightInd w:val="0"/>
              <w:snapToGrid w:val="0"/>
              <w:ind w:right="11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制 造 厂</w:t>
            </w:r>
          </w:p>
        </w:tc>
        <w:tc>
          <w:tcPr>
            <w:tcW w:w="2984" w:type="dxa"/>
            <w:gridSpan w:val="3"/>
            <w:vAlign w:val="center"/>
          </w:tcPr>
          <w:p>
            <w:pPr>
              <w:pStyle w:val="13"/>
              <w:tabs>
                <w:tab w:val="left" w:pos="765"/>
                <w:tab w:val="left" w:pos="930"/>
              </w:tabs>
              <w:adjustRightInd w:val="0"/>
              <w:snapToGrid w:val="0"/>
              <w:ind w:right="11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513" w:type="dxa"/>
            <w:gridSpan w:val="2"/>
            <w:vAlign w:val="center"/>
          </w:tcPr>
          <w:p>
            <w:pPr>
              <w:pStyle w:val="13"/>
              <w:tabs>
                <w:tab w:val="left" w:pos="765"/>
                <w:tab w:val="left" w:pos="930"/>
              </w:tabs>
              <w:adjustRightInd w:val="0"/>
              <w:snapToGrid w:val="0"/>
              <w:ind w:right="11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校准日期</w:t>
            </w:r>
          </w:p>
        </w:tc>
        <w:tc>
          <w:tcPr>
            <w:tcW w:w="2906" w:type="dxa"/>
            <w:gridSpan w:val="2"/>
            <w:vAlign w:val="center"/>
          </w:tcPr>
          <w:p>
            <w:pPr>
              <w:pStyle w:val="13"/>
              <w:tabs>
                <w:tab w:val="left" w:pos="765"/>
                <w:tab w:val="left" w:pos="930"/>
              </w:tabs>
              <w:adjustRightInd w:val="0"/>
              <w:snapToGrid w:val="0"/>
              <w:ind w:right="11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atLeast"/>
          <w:jc w:val="center"/>
        </w:trPr>
        <w:tc>
          <w:tcPr>
            <w:tcW w:w="1435" w:type="dxa"/>
            <w:vAlign w:val="center"/>
          </w:tcPr>
          <w:p>
            <w:pPr>
              <w:pStyle w:val="13"/>
              <w:tabs>
                <w:tab w:val="left" w:pos="765"/>
                <w:tab w:val="left" w:pos="930"/>
              </w:tabs>
              <w:adjustRightInd w:val="0"/>
              <w:snapToGrid w:val="0"/>
              <w:ind w:right="11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型号规格</w:t>
            </w:r>
          </w:p>
        </w:tc>
        <w:tc>
          <w:tcPr>
            <w:tcW w:w="2984" w:type="dxa"/>
            <w:gridSpan w:val="3"/>
            <w:vAlign w:val="center"/>
          </w:tcPr>
          <w:p>
            <w:pPr>
              <w:pStyle w:val="13"/>
              <w:tabs>
                <w:tab w:val="left" w:pos="765"/>
                <w:tab w:val="left" w:pos="930"/>
              </w:tabs>
              <w:adjustRightInd w:val="0"/>
              <w:snapToGrid w:val="0"/>
              <w:ind w:right="11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513" w:type="dxa"/>
            <w:gridSpan w:val="2"/>
            <w:vAlign w:val="center"/>
          </w:tcPr>
          <w:p>
            <w:pPr>
              <w:pStyle w:val="13"/>
              <w:tabs>
                <w:tab w:val="left" w:pos="765"/>
                <w:tab w:val="left" w:pos="930"/>
              </w:tabs>
              <w:adjustRightInd w:val="0"/>
              <w:snapToGrid w:val="0"/>
              <w:ind w:right="11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校准地点</w:t>
            </w:r>
          </w:p>
        </w:tc>
        <w:tc>
          <w:tcPr>
            <w:tcW w:w="2906" w:type="dxa"/>
            <w:gridSpan w:val="2"/>
            <w:vAlign w:val="center"/>
          </w:tcPr>
          <w:p>
            <w:pPr>
              <w:pStyle w:val="13"/>
              <w:tabs>
                <w:tab w:val="left" w:pos="765"/>
                <w:tab w:val="left" w:pos="930"/>
              </w:tabs>
              <w:adjustRightInd w:val="0"/>
              <w:snapToGrid w:val="0"/>
              <w:ind w:right="11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atLeast"/>
          <w:jc w:val="center"/>
        </w:trPr>
        <w:tc>
          <w:tcPr>
            <w:tcW w:w="1435" w:type="dxa"/>
            <w:vAlign w:val="center"/>
          </w:tcPr>
          <w:p>
            <w:pPr>
              <w:pStyle w:val="13"/>
              <w:tabs>
                <w:tab w:val="left" w:pos="765"/>
                <w:tab w:val="left" w:pos="930"/>
              </w:tabs>
              <w:adjustRightInd w:val="0"/>
              <w:snapToGrid w:val="0"/>
              <w:ind w:right="11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出厂编号</w:t>
            </w:r>
          </w:p>
        </w:tc>
        <w:tc>
          <w:tcPr>
            <w:tcW w:w="2984" w:type="dxa"/>
            <w:gridSpan w:val="3"/>
            <w:vAlign w:val="center"/>
          </w:tcPr>
          <w:p>
            <w:pPr>
              <w:pStyle w:val="13"/>
              <w:tabs>
                <w:tab w:val="left" w:pos="765"/>
                <w:tab w:val="left" w:pos="930"/>
              </w:tabs>
              <w:adjustRightInd w:val="0"/>
              <w:snapToGrid w:val="0"/>
              <w:ind w:right="11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513" w:type="dxa"/>
            <w:gridSpan w:val="2"/>
            <w:vAlign w:val="center"/>
          </w:tcPr>
          <w:p>
            <w:pPr>
              <w:pStyle w:val="13"/>
              <w:tabs>
                <w:tab w:val="left" w:pos="765"/>
                <w:tab w:val="left" w:pos="930"/>
              </w:tabs>
              <w:adjustRightInd w:val="0"/>
              <w:snapToGrid w:val="0"/>
              <w:ind w:right="11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温    度</w:t>
            </w:r>
          </w:p>
        </w:tc>
        <w:tc>
          <w:tcPr>
            <w:tcW w:w="2906" w:type="dxa"/>
            <w:gridSpan w:val="2"/>
            <w:vAlign w:val="center"/>
          </w:tcPr>
          <w:p>
            <w:pPr>
              <w:pStyle w:val="13"/>
              <w:tabs>
                <w:tab w:val="left" w:pos="765"/>
                <w:tab w:val="left" w:pos="930"/>
              </w:tabs>
              <w:adjustRightInd w:val="0"/>
              <w:snapToGrid w:val="0"/>
              <w:ind w:right="11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atLeast"/>
          <w:jc w:val="center"/>
        </w:trPr>
        <w:tc>
          <w:tcPr>
            <w:tcW w:w="1435" w:type="dxa"/>
            <w:vAlign w:val="center"/>
          </w:tcPr>
          <w:p>
            <w:pPr>
              <w:pStyle w:val="13"/>
              <w:tabs>
                <w:tab w:val="left" w:pos="765"/>
                <w:tab w:val="left" w:pos="930"/>
              </w:tabs>
              <w:adjustRightInd w:val="0"/>
              <w:snapToGrid w:val="0"/>
              <w:ind w:right="11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技术依据</w:t>
            </w:r>
          </w:p>
        </w:tc>
        <w:tc>
          <w:tcPr>
            <w:tcW w:w="2984" w:type="dxa"/>
            <w:gridSpan w:val="3"/>
            <w:vAlign w:val="center"/>
          </w:tcPr>
          <w:p>
            <w:pPr>
              <w:pStyle w:val="13"/>
              <w:tabs>
                <w:tab w:val="left" w:pos="765"/>
                <w:tab w:val="left" w:pos="930"/>
              </w:tabs>
              <w:adjustRightInd w:val="0"/>
              <w:snapToGrid w:val="0"/>
              <w:ind w:right="11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513" w:type="dxa"/>
            <w:gridSpan w:val="2"/>
            <w:vAlign w:val="center"/>
          </w:tcPr>
          <w:p>
            <w:pPr>
              <w:pStyle w:val="13"/>
              <w:tabs>
                <w:tab w:val="left" w:pos="765"/>
                <w:tab w:val="left" w:pos="930"/>
              </w:tabs>
              <w:adjustRightInd w:val="0"/>
              <w:snapToGrid w:val="0"/>
              <w:ind w:right="11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相对湿度</w:t>
            </w:r>
          </w:p>
        </w:tc>
        <w:tc>
          <w:tcPr>
            <w:tcW w:w="2906" w:type="dxa"/>
            <w:gridSpan w:val="2"/>
            <w:vAlign w:val="center"/>
          </w:tcPr>
          <w:p>
            <w:pPr>
              <w:pStyle w:val="13"/>
              <w:tabs>
                <w:tab w:val="left" w:pos="765"/>
                <w:tab w:val="left" w:pos="930"/>
              </w:tabs>
              <w:adjustRightInd w:val="0"/>
              <w:snapToGrid w:val="0"/>
              <w:ind w:right="11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atLeast"/>
          <w:jc w:val="center"/>
        </w:trPr>
        <w:tc>
          <w:tcPr>
            <w:tcW w:w="1435" w:type="dxa"/>
            <w:vAlign w:val="center"/>
          </w:tcPr>
          <w:p>
            <w:pPr>
              <w:pStyle w:val="13"/>
              <w:tabs>
                <w:tab w:val="left" w:pos="765"/>
                <w:tab w:val="left" w:pos="930"/>
              </w:tabs>
              <w:adjustRightInd w:val="0"/>
              <w:snapToGrid w:val="0"/>
              <w:ind w:right="11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校准人员</w:t>
            </w:r>
          </w:p>
        </w:tc>
        <w:tc>
          <w:tcPr>
            <w:tcW w:w="2984" w:type="dxa"/>
            <w:gridSpan w:val="3"/>
            <w:vAlign w:val="center"/>
          </w:tcPr>
          <w:p>
            <w:pPr>
              <w:pStyle w:val="13"/>
              <w:tabs>
                <w:tab w:val="left" w:pos="765"/>
                <w:tab w:val="left" w:pos="930"/>
              </w:tabs>
              <w:adjustRightInd w:val="0"/>
              <w:snapToGrid w:val="0"/>
              <w:ind w:right="11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513" w:type="dxa"/>
            <w:gridSpan w:val="2"/>
            <w:vAlign w:val="center"/>
          </w:tcPr>
          <w:p>
            <w:pPr>
              <w:pStyle w:val="13"/>
              <w:tabs>
                <w:tab w:val="left" w:pos="765"/>
                <w:tab w:val="left" w:pos="930"/>
              </w:tabs>
              <w:adjustRightInd w:val="0"/>
              <w:snapToGrid w:val="0"/>
              <w:ind w:right="11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核验人员</w:t>
            </w:r>
          </w:p>
        </w:tc>
        <w:tc>
          <w:tcPr>
            <w:tcW w:w="2906" w:type="dxa"/>
            <w:gridSpan w:val="2"/>
            <w:vAlign w:val="center"/>
          </w:tcPr>
          <w:p>
            <w:pPr>
              <w:pStyle w:val="13"/>
              <w:tabs>
                <w:tab w:val="left" w:pos="765"/>
                <w:tab w:val="left" w:pos="930"/>
              </w:tabs>
              <w:adjustRightInd w:val="0"/>
              <w:snapToGrid w:val="0"/>
              <w:ind w:right="11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" w:hRule="atLeast"/>
          <w:jc w:val="center"/>
        </w:trPr>
        <w:tc>
          <w:tcPr>
            <w:tcW w:w="1435" w:type="dxa"/>
            <w:vAlign w:val="center"/>
          </w:tcPr>
          <w:p>
            <w:pPr>
              <w:pStyle w:val="13"/>
              <w:tabs>
                <w:tab w:val="left" w:pos="765"/>
                <w:tab w:val="left" w:pos="930"/>
              </w:tabs>
              <w:adjustRightInd w:val="0"/>
              <w:snapToGrid w:val="0"/>
              <w:ind w:right="11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仪器类别</w:t>
            </w:r>
          </w:p>
        </w:tc>
        <w:tc>
          <w:tcPr>
            <w:tcW w:w="2984" w:type="dxa"/>
            <w:gridSpan w:val="3"/>
            <w:vAlign w:val="center"/>
          </w:tcPr>
          <w:p>
            <w:pPr>
              <w:pStyle w:val="13"/>
              <w:tabs>
                <w:tab w:val="left" w:pos="765"/>
                <w:tab w:val="left" w:pos="930"/>
              </w:tabs>
              <w:adjustRightInd w:val="0"/>
              <w:snapToGrid w:val="0"/>
              <w:ind w:right="11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513" w:type="dxa"/>
            <w:gridSpan w:val="2"/>
            <w:vAlign w:val="center"/>
          </w:tcPr>
          <w:p>
            <w:pPr>
              <w:pStyle w:val="13"/>
              <w:tabs>
                <w:tab w:val="left" w:pos="765"/>
                <w:tab w:val="left" w:pos="930"/>
              </w:tabs>
              <w:adjustRightInd w:val="0"/>
              <w:snapToGrid w:val="0"/>
              <w:ind w:right="11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备    注</w:t>
            </w:r>
          </w:p>
        </w:tc>
        <w:tc>
          <w:tcPr>
            <w:tcW w:w="2906" w:type="dxa"/>
            <w:gridSpan w:val="2"/>
            <w:vAlign w:val="center"/>
          </w:tcPr>
          <w:p>
            <w:pPr>
              <w:pStyle w:val="13"/>
              <w:tabs>
                <w:tab w:val="left" w:pos="765"/>
                <w:tab w:val="left" w:pos="930"/>
              </w:tabs>
              <w:adjustRightInd w:val="0"/>
              <w:snapToGrid w:val="0"/>
              <w:ind w:right="11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8" w:type="dxa"/>
          <w:trHeight w:val="301" w:hRule="atLeast"/>
          <w:jc w:val="center"/>
        </w:trPr>
        <w:tc>
          <w:tcPr>
            <w:tcW w:w="8820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napToGrid w:val="0"/>
              <w:spacing w:before="156" w:beforeLines="50"/>
              <w:ind w:left="-105" w:leftChars="-50" w:right="-88" w:rightChars="-42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校准使用的计量标准器具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8" w:type="dxa"/>
          <w:trHeight w:val="389" w:hRule="atLeast"/>
          <w:jc w:val="center"/>
        </w:trPr>
        <w:tc>
          <w:tcPr>
            <w:tcW w:w="1495" w:type="dxa"/>
            <w:gridSpan w:val="2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标准器名称</w:t>
            </w:r>
          </w:p>
        </w:tc>
        <w:tc>
          <w:tcPr>
            <w:tcW w:w="1602" w:type="dxa"/>
            <w:tcBorders>
              <w:top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型号/规格</w:t>
            </w:r>
          </w:p>
        </w:tc>
        <w:tc>
          <w:tcPr>
            <w:tcW w:w="2820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adjustRightInd w:val="0"/>
              <w:snapToGrid w:val="0"/>
              <w:ind w:left="-105" w:leftChars="-5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不确定度/准确度等级/</w:t>
            </w:r>
          </w:p>
          <w:p>
            <w:pPr>
              <w:adjustRightInd w:val="0"/>
              <w:snapToGrid w:val="0"/>
              <w:ind w:left="-105" w:leftChars="-5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最大允许误差</w:t>
            </w:r>
          </w:p>
        </w:tc>
        <w:tc>
          <w:tcPr>
            <w:tcW w:w="2903" w:type="dxa"/>
            <w:gridSpan w:val="2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证书编号及有效期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8" w:type="dxa"/>
          <w:trHeight w:val="391" w:hRule="atLeast"/>
          <w:jc w:val="center"/>
        </w:trPr>
        <w:tc>
          <w:tcPr>
            <w:tcW w:w="1495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tabs>
                <w:tab w:val="left" w:pos="5728"/>
              </w:tabs>
              <w:adjustRightInd w:val="0"/>
              <w:snapToGrid w:val="0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602" w:type="dxa"/>
            <w:vAlign w:val="center"/>
          </w:tcPr>
          <w:p>
            <w:pPr>
              <w:tabs>
                <w:tab w:val="left" w:pos="5728"/>
              </w:tabs>
              <w:adjustRightInd w:val="0"/>
              <w:snapToGrid w:val="0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2820" w:type="dxa"/>
            <w:gridSpan w:val="2"/>
            <w:vAlign w:val="center"/>
          </w:tcPr>
          <w:p>
            <w:pPr>
              <w:tabs>
                <w:tab w:val="left" w:pos="5728"/>
              </w:tabs>
              <w:adjustRightInd w:val="0"/>
              <w:snapToGrid w:val="0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2903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5728"/>
              </w:tabs>
              <w:adjustRightInd w:val="0"/>
              <w:snapToGrid w:val="0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8" w:type="dxa"/>
          <w:trHeight w:val="337" w:hRule="atLeast"/>
          <w:jc w:val="center"/>
        </w:trPr>
        <w:tc>
          <w:tcPr>
            <w:tcW w:w="1495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tabs>
                <w:tab w:val="left" w:pos="5728"/>
              </w:tabs>
              <w:adjustRightInd w:val="0"/>
              <w:snapToGrid w:val="0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602" w:type="dxa"/>
            <w:vAlign w:val="center"/>
          </w:tcPr>
          <w:p>
            <w:pPr>
              <w:tabs>
                <w:tab w:val="left" w:pos="5728"/>
              </w:tabs>
              <w:adjustRightInd w:val="0"/>
              <w:snapToGrid w:val="0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2820" w:type="dxa"/>
            <w:gridSpan w:val="2"/>
            <w:vAlign w:val="center"/>
          </w:tcPr>
          <w:p>
            <w:pPr>
              <w:tabs>
                <w:tab w:val="left" w:pos="5728"/>
              </w:tabs>
              <w:adjustRightInd w:val="0"/>
              <w:snapToGrid w:val="0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2903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5728"/>
              </w:tabs>
              <w:adjustRightInd w:val="0"/>
              <w:snapToGrid w:val="0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8" w:type="dxa"/>
          <w:trHeight w:val="389" w:hRule="atLeast"/>
          <w:jc w:val="center"/>
        </w:trPr>
        <w:tc>
          <w:tcPr>
            <w:tcW w:w="1495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tabs>
                <w:tab w:val="left" w:pos="5728"/>
              </w:tabs>
              <w:adjustRightInd w:val="0"/>
              <w:snapToGrid w:val="0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602" w:type="dxa"/>
            <w:vAlign w:val="center"/>
          </w:tcPr>
          <w:p>
            <w:pPr>
              <w:tabs>
                <w:tab w:val="left" w:pos="5728"/>
              </w:tabs>
              <w:adjustRightInd w:val="0"/>
              <w:snapToGrid w:val="0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2820" w:type="dxa"/>
            <w:gridSpan w:val="2"/>
            <w:vAlign w:val="center"/>
          </w:tcPr>
          <w:p>
            <w:pPr>
              <w:tabs>
                <w:tab w:val="left" w:pos="5728"/>
              </w:tabs>
              <w:adjustRightInd w:val="0"/>
              <w:snapToGrid w:val="0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2903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5728"/>
              </w:tabs>
              <w:adjustRightInd w:val="0"/>
              <w:snapToGrid w:val="0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</w:tbl>
    <w:p>
      <w:pPr>
        <w:pStyle w:val="13"/>
        <w:tabs>
          <w:tab w:val="left" w:pos="765"/>
          <w:tab w:val="left" w:pos="930"/>
        </w:tabs>
        <w:adjustRightInd w:val="0"/>
        <w:snapToGrid w:val="0"/>
        <w:spacing w:before="156" w:beforeLines="50" w:line="360" w:lineRule="auto"/>
        <w:ind w:right="11"/>
        <w:jc w:val="center"/>
        <w:textAlignment w:val="center"/>
        <w:rPr>
          <w:rFonts w:hAnsi="宋体" w:cs="宋体"/>
          <w:sz w:val="20"/>
        </w:rPr>
      </w:pPr>
      <w:r>
        <w:rPr>
          <w:rFonts w:ascii="Times New Roman" w:hAnsi="Times New Roman" w:eastAsia="黑体"/>
          <w:szCs w:val="21"/>
        </w:rPr>
        <w:t>校准结果</w:t>
      </w:r>
    </w:p>
    <w:tbl>
      <w:tblPr>
        <w:tblStyle w:val="41"/>
        <w:tblW w:w="8897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88"/>
        <w:gridCol w:w="546"/>
        <w:gridCol w:w="684"/>
        <w:gridCol w:w="1093"/>
        <w:gridCol w:w="957"/>
        <w:gridCol w:w="958"/>
        <w:gridCol w:w="959"/>
        <w:gridCol w:w="1183"/>
        <w:gridCol w:w="960"/>
        <w:gridCol w:w="86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88" w:type="dxa"/>
            <w:vAlign w:val="center"/>
          </w:tcPr>
          <w:p>
            <w:pPr>
              <w:pStyle w:val="42"/>
              <w:framePr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校准点</w:t>
            </w:r>
            <w:r>
              <w:rPr>
                <w:rFonts w:hint="eastAsia" w:asciiTheme="minorEastAsia" w:hAnsiTheme="minorEastAsia" w:eastAsiaTheme="minorEastAsia" w:cstheme="minorEastAsia"/>
                <w:spacing w:val="-1"/>
                <w:sz w:val="21"/>
                <w:szCs w:val="21"/>
              </w:rPr>
              <w:t>μL</w:t>
            </w:r>
          </w:p>
        </w:tc>
        <w:tc>
          <w:tcPr>
            <w:tcW w:w="546" w:type="dxa"/>
            <w:textDirection w:val="tbRlV"/>
            <w:vAlign w:val="center"/>
          </w:tcPr>
          <w:p>
            <w:pPr>
              <w:pStyle w:val="42"/>
              <w:framePr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序号</w:t>
            </w:r>
          </w:p>
        </w:tc>
        <w:tc>
          <w:tcPr>
            <w:tcW w:w="684" w:type="dxa"/>
            <w:vAlign w:val="center"/>
          </w:tcPr>
          <w:p>
            <w:pPr>
              <w:pStyle w:val="42"/>
              <w:framePr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温度</w:t>
            </w:r>
          </w:p>
          <w:p>
            <w:pPr>
              <w:pStyle w:val="42"/>
              <w:framePr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℃</w:t>
            </w:r>
          </w:p>
        </w:tc>
        <w:tc>
          <w:tcPr>
            <w:tcW w:w="1093" w:type="dxa"/>
            <w:vAlign w:val="center"/>
          </w:tcPr>
          <w:p>
            <w:pPr>
              <w:pStyle w:val="42"/>
              <w:framePr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质量值</w:t>
            </w:r>
          </w:p>
          <w:p>
            <w:pPr>
              <w:pStyle w:val="42"/>
              <w:framePr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m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g</w:t>
            </w:r>
          </w:p>
        </w:tc>
        <w:tc>
          <w:tcPr>
            <w:tcW w:w="957" w:type="dxa"/>
            <w:vAlign w:val="center"/>
          </w:tcPr>
          <w:p>
            <w:pPr>
              <w:pStyle w:val="42"/>
              <w:framePr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i/>
                <w:iCs/>
                <w:sz w:val="21"/>
                <w:szCs w:val="21"/>
              </w:rPr>
              <w:t>K</w:t>
            </w: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  <w:t>(t)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值</w:t>
            </w:r>
          </w:p>
          <w:p>
            <w:pPr>
              <w:pStyle w:val="42"/>
              <w:framePr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cm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superscript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/g</w:t>
            </w:r>
          </w:p>
        </w:tc>
        <w:tc>
          <w:tcPr>
            <w:tcW w:w="958" w:type="dxa"/>
            <w:vAlign w:val="center"/>
          </w:tcPr>
          <w:p>
            <w:pPr>
              <w:framePr w:wrap="around" w:vAnchor="margin" w:hAnchor="text" w:y="1"/>
              <w:snapToGrid w:val="0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i/>
                <w:iCs/>
                <w:position w:val="18"/>
                <w:sz w:val="21"/>
                <w:szCs w:val="21"/>
              </w:rPr>
              <w:t>V</w:t>
            </w:r>
            <w:r>
              <w:rPr>
                <w:rFonts w:hint="default" w:ascii="Times New Roman" w:hAnsi="Times New Roman" w:cs="Times New Roman" w:eastAsiaTheme="minorEastAsia"/>
                <w:position w:val="13"/>
                <w:sz w:val="21"/>
                <w:szCs w:val="21"/>
                <w:vertAlign w:val="subscript"/>
              </w:rPr>
              <w:t>20</w:t>
            </w:r>
          </w:p>
          <w:p>
            <w:pPr>
              <w:framePr w:wrap="around" w:vAnchor="margin" w:hAnchor="text" w:y="1"/>
              <w:snapToGrid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1"/>
                <w:sz w:val="21"/>
                <w:szCs w:val="21"/>
              </w:rPr>
              <w:t>μL</w:t>
            </w:r>
          </w:p>
        </w:tc>
        <w:tc>
          <w:tcPr>
            <w:tcW w:w="959" w:type="dxa"/>
            <w:vAlign w:val="center"/>
          </w:tcPr>
          <w:p>
            <w:pPr>
              <w:framePr w:wrap="around" w:vAnchor="margin" w:hAnchor="text" w:y="1"/>
              <w:snapToGrid w:val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position w:val="-6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position w:val="-6"/>
                <w:sz w:val="21"/>
                <w:szCs w:val="21"/>
              </w:rPr>
              <w:object>
                <v:shape id="_x0000_i1041" o:spt="75" type="#_x0000_t75" style="height:16.2pt;width:12.15pt;" o:ole="t" filled="f" o:preferrelative="t" stroked="f" coordsize="21600,21600">
                  <v:path/>
                  <v:fill on="f" focussize="0,0"/>
                  <v:stroke on="f" joinstyle="miter"/>
                  <v:imagedata r:id="rId43" o:title=""/>
                  <o:lock v:ext="edit" aspectratio="t"/>
                  <w10:wrap type="none"/>
                  <w10:anchorlock/>
                </v:shape>
                <o:OLEObject Type="Embed" ProgID="Equation.KSEE3" ShapeID="_x0000_i1041" DrawAspect="Content" ObjectID="_1468075742" r:id="rId52">
                  <o:LockedField>false</o:LockedField>
                </o:OLEObject>
              </w:object>
            </w:r>
          </w:p>
          <w:p>
            <w:pPr>
              <w:framePr w:wrap="around" w:vAnchor="margin" w:hAnchor="text" w:y="1"/>
              <w:snapToGrid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2"/>
                <w:sz w:val="21"/>
                <w:szCs w:val="21"/>
              </w:rPr>
              <w:t>μL</w:t>
            </w:r>
          </w:p>
        </w:tc>
        <w:tc>
          <w:tcPr>
            <w:tcW w:w="1183" w:type="dxa"/>
            <w:vAlign w:val="center"/>
          </w:tcPr>
          <w:p>
            <w:pPr>
              <w:pStyle w:val="42"/>
              <w:framePr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容量</w:t>
            </w:r>
          </w:p>
          <w:p>
            <w:pPr>
              <w:pStyle w:val="42"/>
              <w:framePr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6"/>
                <w:sz w:val="21"/>
                <w:szCs w:val="21"/>
              </w:rPr>
              <w:t>相对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误差</w:t>
            </w:r>
            <w:r>
              <w:rPr>
                <w:rFonts w:hint="default" w:ascii="Times New Roman" w:hAnsi="Times New Roman" w:cs="Times New Roman" w:eastAsiaTheme="minorEastAsia"/>
                <w:i/>
                <w:iCs/>
                <w:sz w:val="21"/>
                <w:szCs w:val="21"/>
              </w:rPr>
              <w:t>E</w:t>
            </w:r>
          </w:p>
        </w:tc>
        <w:tc>
          <w:tcPr>
            <w:tcW w:w="960" w:type="dxa"/>
            <w:vAlign w:val="center"/>
          </w:tcPr>
          <w:p>
            <w:pPr>
              <w:pStyle w:val="42"/>
              <w:framePr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容量</w:t>
            </w:r>
          </w:p>
          <w:p>
            <w:pPr>
              <w:pStyle w:val="42"/>
              <w:framePr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重复性</w:t>
            </w:r>
            <w:r>
              <w:rPr>
                <w:rFonts w:hint="default" w:ascii="Times New Roman" w:hAnsi="Times New Roman" w:cs="Times New Roman" w:eastAsiaTheme="minorEastAsia"/>
                <w:i/>
                <w:sz w:val="21"/>
                <w:szCs w:val="21"/>
              </w:rPr>
              <w:t>s</w:t>
            </w:r>
          </w:p>
        </w:tc>
        <w:tc>
          <w:tcPr>
            <w:tcW w:w="869" w:type="dxa"/>
            <w:vAlign w:val="center"/>
          </w:tcPr>
          <w:p>
            <w:pPr>
              <w:pStyle w:val="42"/>
              <w:framePr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容量测量结果不确定度</w:t>
            </w:r>
            <w:r>
              <w:rPr>
                <w:rFonts w:hint="default" w:ascii="Times New Roman" w:hAnsi="Times New Roman" w:cs="Times New Roman" w:eastAsiaTheme="minorEastAsia"/>
                <w:i/>
                <w:iCs/>
                <w:spacing w:val="3"/>
                <w:sz w:val="21"/>
                <w:szCs w:val="21"/>
                <w:lang w:eastAsia="zh-CN"/>
              </w:rPr>
              <w:t>U</w:t>
            </w:r>
            <w:r>
              <w:rPr>
                <w:rFonts w:hint="default" w:ascii="Times New Roman" w:hAnsi="Times New Roman" w:cs="Times New Roman" w:eastAsiaTheme="minorEastAsia"/>
                <w:spacing w:val="3"/>
                <w:sz w:val="21"/>
                <w:szCs w:val="21"/>
                <w:lang w:eastAsia="zh-CN"/>
              </w:rPr>
              <w:t>（</w:t>
            </w:r>
            <w:r>
              <w:rPr>
                <w:rFonts w:hint="default" w:ascii="Times New Roman" w:hAnsi="Times New Roman" w:cs="Times New Roman" w:eastAsiaTheme="minorEastAsia"/>
                <w:i/>
                <w:iCs/>
                <w:spacing w:val="3"/>
                <w:sz w:val="21"/>
                <w:szCs w:val="21"/>
                <w:lang w:eastAsia="zh-CN"/>
              </w:rPr>
              <w:t>k</w:t>
            </w:r>
            <w:r>
              <w:rPr>
                <w:rFonts w:hint="default" w:ascii="Times New Roman" w:hAnsi="Times New Roman" w:cs="Times New Roman" w:eastAsiaTheme="minorEastAsia"/>
                <w:spacing w:val="3"/>
                <w:sz w:val="21"/>
                <w:szCs w:val="21"/>
                <w:lang w:eastAsia="zh-CN"/>
              </w:rPr>
              <w:t>=2）</w:t>
            </w:r>
          </w:p>
          <w:p>
            <w:pPr>
              <w:framePr w:wrap="around" w:vAnchor="margin" w:hAnchor="text" w:y="1"/>
              <w:snapToGrid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1"/>
                <w:sz w:val="21"/>
                <w:szCs w:val="21"/>
              </w:rPr>
              <w:t>μL</w:t>
            </w:r>
          </w:p>
        </w:tc>
      </w:tr>
    </w:tbl>
    <w:tbl>
      <w:tblPr>
        <w:tblStyle w:val="41"/>
        <w:tblW w:w="8897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88"/>
        <w:gridCol w:w="546"/>
        <w:gridCol w:w="684"/>
        <w:gridCol w:w="1093"/>
        <w:gridCol w:w="957"/>
        <w:gridCol w:w="958"/>
        <w:gridCol w:w="959"/>
        <w:gridCol w:w="1183"/>
        <w:gridCol w:w="960"/>
        <w:gridCol w:w="86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88" w:type="dxa"/>
            <w:vMerge w:val="restart"/>
            <w:tcBorders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546" w:type="dxa"/>
            <w:vAlign w:val="center"/>
          </w:tcPr>
          <w:p>
            <w:pPr>
              <w:pStyle w:val="42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9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7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9" w:type="dxa"/>
            <w:vMerge w:val="restart"/>
            <w:tcBorders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183" w:type="dxa"/>
            <w:vMerge w:val="restart"/>
            <w:tcBorders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60" w:type="dxa"/>
            <w:vMerge w:val="restart"/>
            <w:tcBorders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869" w:type="dxa"/>
            <w:vMerge w:val="restart"/>
            <w:tcBorders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88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546" w:type="dxa"/>
            <w:vAlign w:val="center"/>
          </w:tcPr>
          <w:p>
            <w:pPr>
              <w:pStyle w:val="42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9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7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183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869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88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546" w:type="dxa"/>
            <w:vAlign w:val="center"/>
          </w:tcPr>
          <w:p>
            <w:pPr>
              <w:pStyle w:val="42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9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7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183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869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88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546" w:type="dxa"/>
            <w:vAlign w:val="center"/>
          </w:tcPr>
          <w:p>
            <w:pPr>
              <w:pStyle w:val="42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4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9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7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183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869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88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546" w:type="dxa"/>
            <w:vAlign w:val="center"/>
          </w:tcPr>
          <w:p>
            <w:pPr>
              <w:pStyle w:val="42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9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7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183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869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88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546" w:type="dxa"/>
            <w:vAlign w:val="center"/>
          </w:tcPr>
          <w:p>
            <w:pPr>
              <w:pStyle w:val="42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6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9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7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183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869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88" w:type="dxa"/>
            <w:vMerge w:val="restart"/>
            <w:tcBorders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546" w:type="dxa"/>
            <w:vAlign w:val="center"/>
          </w:tcPr>
          <w:p>
            <w:pPr>
              <w:pStyle w:val="42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9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7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9" w:type="dxa"/>
            <w:vMerge w:val="restart"/>
            <w:tcBorders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183" w:type="dxa"/>
            <w:vMerge w:val="restart"/>
            <w:tcBorders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60" w:type="dxa"/>
            <w:vMerge w:val="restart"/>
            <w:tcBorders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869" w:type="dxa"/>
            <w:vMerge w:val="restart"/>
            <w:tcBorders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88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546" w:type="dxa"/>
            <w:vAlign w:val="center"/>
          </w:tcPr>
          <w:p>
            <w:pPr>
              <w:pStyle w:val="42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9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7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183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869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88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546" w:type="dxa"/>
            <w:vAlign w:val="center"/>
          </w:tcPr>
          <w:p>
            <w:pPr>
              <w:pStyle w:val="42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9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7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183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869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88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546" w:type="dxa"/>
            <w:vAlign w:val="center"/>
          </w:tcPr>
          <w:p>
            <w:pPr>
              <w:pStyle w:val="42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4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9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7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183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869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88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546" w:type="dxa"/>
            <w:vAlign w:val="center"/>
          </w:tcPr>
          <w:p>
            <w:pPr>
              <w:pStyle w:val="42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9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7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183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869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88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546" w:type="dxa"/>
            <w:vAlign w:val="center"/>
          </w:tcPr>
          <w:p>
            <w:pPr>
              <w:pStyle w:val="42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6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9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7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183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869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88" w:type="dxa"/>
            <w:vMerge w:val="restart"/>
            <w:tcBorders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546" w:type="dxa"/>
            <w:vAlign w:val="center"/>
          </w:tcPr>
          <w:p>
            <w:pPr>
              <w:pStyle w:val="42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9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7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9" w:type="dxa"/>
            <w:vMerge w:val="restart"/>
            <w:tcBorders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183" w:type="dxa"/>
            <w:vMerge w:val="restart"/>
            <w:tcBorders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60" w:type="dxa"/>
            <w:vMerge w:val="restart"/>
            <w:tcBorders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869" w:type="dxa"/>
            <w:vMerge w:val="restart"/>
            <w:tcBorders>
              <w:bottom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88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546" w:type="dxa"/>
          </w:tcPr>
          <w:p>
            <w:pPr>
              <w:pStyle w:val="42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</w:t>
            </w:r>
          </w:p>
        </w:tc>
        <w:tc>
          <w:tcPr>
            <w:tcW w:w="684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93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7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8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183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869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88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546" w:type="dxa"/>
          </w:tcPr>
          <w:p>
            <w:pPr>
              <w:pStyle w:val="42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</w:t>
            </w:r>
          </w:p>
        </w:tc>
        <w:tc>
          <w:tcPr>
            <w:tcW w:w="684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93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7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8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183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869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88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546" w:type="dxa"/>
          </w:tcPr>
          <w:p>
            <w:pPr>
              <w:pStyle w:val="42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4</w:t>
            </w:r>
          </w:p>
        </w:tc>
        <w:tc>
          <w:tcPr>
            <w:tcW w:w="684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93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7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8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183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869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88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546" w:type="dxa"/>
          </w:tcPr>
          <w:p>
            <w:pPr>
              <w:pStyle w:val="42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</w:t>
            </w:r>
          </w:p>
        </w:tc>
        <w:tc>
          <w:tcPr>
            <w:tcW w:w="684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93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7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8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183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869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88" w:type="dxa"/>
            <w:vMerge w:val="continue"/>
            <w:tcBorders>
              <w:top w:val="nil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546" w:type="dxa"/>
          </w:tcPr>
          <w:p>
            <w:pPr>
              <w:pStyle w:val="42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6</w:t>
            </w:r>
          </w:p>
        </w:tc>
        <w:tc>
          <w:tcPr>
            <w:tcW w:w="684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93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7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8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183" w:type="dxa"/>
            <w:vMerge w:val="continue"/>
            <w:tcBorders>
              <w:top w:val="nil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tcBorders>
              <w:top w:val="nil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869" w:type="dxa"/>
            <w:vMerge w:val="continue"/>
            <w:tcBorders>
              <w:top w:val="nil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</w:tbl>
    <w:p>
      <w:pPr>
        <w:widowControl/>
        <w:kinsoku w:val="0"/>
        <w:autoSpaceDE w:val="0"/>
        <w:autoSpaceDN w:val="0"/>
        <w:adjustRightInd w:val="0"/>
        <w:snapToGrid w:val="0"/>
        <w:spacing w:line="227" w:lineRule="auto"/>
        <w:ind w:firstLine="224" w:firstLineChars="100"/>
        <w:textAlignment w:val="baseline"/>
        <w:rPr>
          <w:rFonts w:hint="eastAsia" w:asciiTheme="minorEastAsia" w:hAnsiTheme="minorEastAsia" w:eastAsiaTheme="minorEastAsia" w:cstheme="minorEastAsia"/>
          <w:spacing w:val="7"/>
          <w:sz w:val="21"/>
          <w:szCs w:val="21"/>
        </w:rPr>
      </w:pPr>
    </w:p>
    <w:p>
      <w:pPr>
        <w:spacing w:line="360" w:lineRule="auto"/>
        <w:ind w:left="2730" w:hanging="2730" w:hangingChars="975"/>
        <w:jc w:val="left"/>
        <w:textAlignment w:val="center"/>
        <w:outlineLvl w:val="0"/>
        <w:rPr>
          <w:rFonts w:hint="default" w:ascii="Times New Roman" w:hAnsi="Times New Roman" w:eastAsia="黑体" w:cs="Times New Roman"/>
          <w:caps w:val="0"/>
          <w:color w:val="auto"/>
          <w:spacing w:val="0"/>
          <w:kern w:val="2"/>
          <w:position w:val="0"/>
          <w:sz w:val="28"/>
          <w:szCs w:val="28"/>
          <w:lang w:val="en-US" w:eastAsia="zh-CN" w:bidi="ar-SA"/>
        </w:rPr>
      </w:pPr>
      <w:r>
        <w:rPr>
          <w:rFonts w:eastAsia="黑体"/>
          <w:sz w:val="28"/>
          <w:szCs w:val="28"/>
        </w:rPr>
        <w:br w:type="page"/>
      </w:r>
      <w:bookmarkStart w:id="32" w:name="_Toc11342"/>
      <w:r>
        <w:rPr>
          <w:rFonts w:hint="default" w:ascii="Times New Roman" w:hAnsi="Times New Roman" w:eastAsia="黑体" w:cs="Times New Roman"/>
          <w:caps w:val="0"/>
          <w:color w:val="auto"/>
          <w:spacing w:val="0"/>
          <w:kern w:val="2"/>
          <w:position w:val="0"/>
          <w:sz w:val="28"/>
          <w:szCs w:val="28"/>
          <w:lang w:val="en-US" w:eastAsia="zh-CN" w:bidi="ar-SA"/>
        </w:rPr>
        <w:t>附录B</w:t>
      </w:r>
      <w:bookmarkEnd w:id="32"/>
      <w:r>
        <w:rPr>
          <w:rFonts w:hint="default" w:ascii="Times New Roman" w:hAnsi="Times New Roman" w:eastAsia="黑体" w:cs="Times New Roman"/>
          <w:caps w:val="0"/>
          <w:color w:val="auto"/>
          <w:spacing w:val="0"/>
          <w:kern w:val="2"/>
          <w:position w:val="0"/>
          <w:sz w:val="28"/>
          <w:szCs w:val="28"/>
          <w:lang w:val="en-US" w:eastAsia="zh-CN" w:bidi="ar-SA"/>
        </w:rPr>
        <w:t xml:space="preserve"> </w:t>
      </w:r>
    </w:p>
    <w:p>
      <w:pPr>
        <w:spacing w:line="360" w:lineRule="auto"/>
        <w:ind w:left="2318" w:leftChars="1104" w:firstLine="70" w:firstLineChars="25"/>
        <w:textAlignment w:val="center"/>
        <w:outlineLvl w:val="0"/>
        <w:rPr>
          <w:rFonts w:eastAsia="黑体"/>
          <w:szCs w:val="21"/>
        </w:rPr>
      </w:pPr>
      <w:bookmarkStart w:id="33" w:name="_Toc18736"/>
      <w:r>
        <w:rPr>
          <w:rFonts w:hint="eastAsia" w:ascii="Times New Roman" w:hAnsi="Times New Roman" w:eastAsia="黑体" w:cs="Times New Roman"/>
          <w:caps w:val="0"/>
          <w:color w:val="auto"/>
          <w:spacing w:val="0"/>
          <w:position w:val="0"/>
          <w:sz w:val="28"/>
          <w:szCs w:val="28"/>
          <w:lang w:val="en-US" w:eastAsia="zh-CN"/>
        </w:rPr>
        <w:t>微量进样器校准证书内页格式（推荐性）</w:t>
      </w:r>
      <w:bookmarkEnd w:id="33"/>
    </w:p>
    <w:tbl>
      <w:tblPr>
        <w:tblStyle w:val="2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6" w:hRule="atLeast"/>
        </w:trPr>
        <w:tc>
          <w:tcPr>
            <w:tcW w:w="9288" w:type="dxa"/>
          </w:tcPr>
          <w:p>
            <w:pPr>
              <w:spacing w:before="230" w:line="219" w:lineRule="auto"/>
              <w:jc w:val="center"/>
              <w:rPr>
                <w:rFonts w:hint="eastAsia" w:asciiTheme="minorEastAsia" w:hAnsiTheme="minorEastAsia" w:eastAsiaTheme="minorEastAsia" w:cstheme="minorEastAsia"/>
                <w:spacing w:val="-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4"/>
                <w:sz w:val="24"/>
                <w:szCs w:val="24"/>
              </w:rPr>
              <w:t>校准结果</w:t>
            </w:r>
          </w:p>
          <w:p>
            <w:pPr>
              <w:spacing w:line="68" w:lineRule="exact"/>
              <w:rPr>
                <w:sz w:val="24"/>
              </w:rPr>
            </w:pPr>
          </w:p>
          <w:tbl>
            <w:tblPr>
              <w:tblStyle w:val="41"/>
              <w:tblW w:w="4996" w:type="pct"/>
              <w:jc w:val="center"/>
              <w:tblBorders>
                <w:top w:val="single" w:color="000000" w:sz="2" w:space="0"/>
                <w:left w:val="single" w:color="000000" w:sz="2" w:space="0"/>
                <w:bottom w:val="single" w:color="000000" w:sz="2" w:space="0"/>
                <w:right w:val="single" w:color="000000" w:sz="2" w:space="0"/>
                <w:insideH w:val="single" w:color="000000" w:sz="2" w:space="0"/>
                <w:insideV w:val="single" w:color="000000" w:sz="2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775"/>
              <w:gridCol w:w="1558"/>
              <w:gridCol w:w="1289"/>
              <w:gridCol w:w="2719"/>
              <w:gridCol w:w="2719"/>
            </w:tblGrid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856" w:hRule="atLeast"/>
                <w:jc w:val="center"/>
              </w:trPr>
              <w:tc>
                <w:tcPr>
                  <w:tcW w:w="428" w:type="pct"/>
                  <w:vAlign w:val="center"/>
                </w:tcPr>
                <w:p>
                  <w:pPr>
                    <w:pStyle w:val="42"/>
                    <w:framePr w:hSpace="0" w:wrap="auto" w:vAnchor="margin" w:hAnchor="text" w:xAlign="left" w:yAlign="inline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</w:rPr>
                    <w:t>校准点</w:t>
                  </w:r>
                </w:p>
                <w:p>
                  <w:pPr>
                    <w:spacing w:line="360" w:lineRule="auto"/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pacing w:val="-1"/>
                      <w:sz w:val="21"/>
                      <w:szCs w:val="21"/>
                    </w:rPr>
                    <w:t>μL</w:t>
                  </w:r>
                </w:p>
              </w:tc>
              <w:tc>
                <w:tcPr>
                  <w:tcW w:w="860" w:type="pct"/>
                  <w:vAlign w:val="center"/>
                </w:tcPr>
                <w:p>
                  <w:pPr>
                    <w:pStyle w:val="42"/>
                    <w:framePr w:hSpace="0" w:wrap="auto" w:vAnchor="margin" w:hAnchor="text" w:xAlign="left" w:yAlign="inline"/>
                    <w:jc w:val="center"/>
                    <w:rPr>
                      <w:rFonts w:hint="eastAsia" w:asciiTheme="minorEastAsia" w:hAnsiTheme="minorEastAsia" w:eastAsiaTheme="minorEastAsia" w:cstheme="minorEastAsia"/>
                      <w:spacing w:val="7"/>
                      <w:sz w:val="21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</w:rPr>
                    <w:t>容量</w:t>
                  </w: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lang w:eastAsia="zh-CN"/>
                    </w:rPr>
                    <w:t>值</w:t>
                  </w: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</w:rPr>
                    <w:t>μL</w:t>
                  </w:r>
                </w:p>
              </w:tc>
              <w:tc>
                <w:tcPr>
                  <w:tcW w:w="711" w:type="pct"/>
                  <w:vAlign w:val="center"/>
                </w:tcPr>
                <w:p>
                  <w:pPr>
                    <w:pStyle w:val="42"/>
                    <w:framePr w:hSpace="0" w:wrap="auto" w:vAnchor="margin" w:hAnchor="text" w:xAlign="left" w:yAlign="inline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</w:rPr>
                    <w:t>容量相对误差</w:t>
                  </w:r>
                </w:p>
              </w:tc>
              <w:tc>
                <w:tcPr>
                  <w:tcW w:w="1500" w:type="pct"/>
                  <w:vAlign w:val="center"/>
                </w:tcPr>
                <w:p>
                  <w:pPr>
                    <w:pStyle w:val="42"/>
                    <w:framePr w:hSpace="0" w:wrap="auto" w:vAnchor="margin" w:hAnchor="text" w:xAlign="left" w:yAlign="inline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lang w:eastAsia="zh-CN"/>
                    </w:rPr>
                    <w:t>容量</w:t>
                  </w: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</w:rPr>
                    <w:t>重复性</w:t>
                  </w:r>
                </w:p>
              </w:tc>
              <w:tc>
                <w:tcPr>
                  <w:tcW w:w="1500" w:type="pct"/>
                  <w:vAlign w:val="center"/>
                </w:tcPr>
                <w:p>
                  <w:pPr>
                    <w:pStyle w:val="42"/>
                    <w:framePr w:hSpace="0" w:wrap="auto" w:vAnchor="margin" w:hAnchor="text" w:xAlign="left" w:yAlign="inline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lang w:eastAsia="zh-CN"/>
                    </w:rPr>
                    <w:t>容量测量结果的不确定度</w:t>
                  </w:r>
                </w:p>
                <w:p>
                  <w:pPr>
                    <w:pStyle w:val="42"/>
                    <w:framePr w:hSpace="0" w:wrap="auto" w:vAnchor="margin" w:hAnchor="text" w:xAlign="left" w:yAlign="inline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i/>
                      <w:iCs/>
                      <w:sz w:val="21"/>
                      <w:szCs w:val="21"/>
                    </w:rPr>
                    <w:t>U</w:t>
                  </w:r>
                  <w:r>
                    <w:rPr>
                      <w:rFonts w:hint="default" w:ascii="Times New Roman" w:hAnsi="Times New Roman" w:cs="Times New Roman" w:eastAsiaTheme="minorEastAsia"/>
                      <w:sz w:val="21"/>
                      <w:szCs w:val="21"/>
                    </w:rPr>
                    <w:t>（</w:t>
                  </w:r>
                  <w:r>
                    <w:rPr>
                      <w:rFonts w:hint="default" w:ascii="Times New Roman" w:hAnsi="Times New Roman" w:cs="Times New Roman" w:eastAsiaTheme="minorEastAsia"/>
                      <w:i/>
                      <w:iCs/>
                      <w:sz w:val="21"/>
                      <w:szCs w:val="21"/>
                    </w:rPr>
                    <w:t>k</w:t>
                  </w:r>
                  <w:r>
                    <w:rPr>
                      <w:rFonts w:hint="default" w:ascii="Times New Roman" w:hAnsi="Times New Roman" w:cs="Times New Roman" w:eastAsiaTheme="minorEastAsia"/>
                      <w:sz w:val="21"/>
                      <w:szCs w:val="21"/>
                    </w:rPr>
                    <w:t>=2）</w:t>
                  </w:r>
                </w:p>
                <w:p>
                  <w:pPr>
                    <w:spacing w:line="360" w:lineRule="auto"/>
                    <w:jc w:val="center"/>
                    <w:rPr>
                      <w:rFonts w:hint="eastAsia" w:asciiTheme="minorEastAsia" w:hAnsiTheme="minorEastAsia" w:eastAsiaTheme="minorEastAsia" w:cstheme="minorEastAsia"/>
                      <w:spacing w:val="-1"/>
                      <w:sz w:val="21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pacing w:val="-1"/>
                      <w:sz w:val="21"/>
                      <w:szCs w:val="21"/>
                    </w:rPr>
                    <w:t>μL</w:t>
                  </w:r>
                </w:p>
              </w:tc>
            </w:tr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774" w:hRule="atLeast"/>
                <w:jc w:val="center"/>
              </w:trPr>
              <w:tc>
                <w:tcPr>
                  <w:tcW w:w="428" w:type="pct"/>
                  <w:vAlign w:val="center"/>
                </w:tcPr>
                <w:p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</w:rPr>
                  </w:pPr>
                </w:p>
              </w:tc>
              <w:tc>
                <w:tcPr>
                  <w:tcW w:w="860" w:type="pct"/>
                  <w:vAlign w:val="center"/>
                </w:tcPr>
                <w:p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</w:rPr>
                  </w:pPr>
                </w:p>
              </w:tc>
              <w:tc>
                <w:tcPr>
                  <w:tcW w:w="711" w:type="pct"/>
                  <w:vAlign w:val="center"/>
                </w:tcPr>
                <w:p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</w:rPr>
                  </w:pPr>
                </w:p>
              </w:tc>
              <w:tc>
                <w:tcPr>
                  <w:tcW w:w="1500" w:type="pct"/>
                  <w:vAlign w:val="center"/>
                </w:tcPr>
                <w:p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</w:rPr>
                  </w:pPr>
                </w:p>
              </w:tc>
              <w:tc>
                <w:tcPr>
                  <w:tcW w:w="1500" w:type="pct"/>
                  <w:vAlign w:val="center"/>
                </w:tcPr>
                <w:p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774" w:hRule="atLeast"/>
                <w:jc w:val="center"/>
              </w:trPr>
              <w:tc>
                <w:tcPr>
                  <w:tcW w:w="428" w:type="pct"/>
                  <w:vAlign w:val="center"/>
                </w:tcPr>
                <w:p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</w:rPr>
                  </w:pPr>
                </w:p>
              </w:tc>
              <w:tc>
                <w:tcPr>
                  <w:tcW w:w="860" w:type="pct"/>
                  <w:vAlign w:val="center"/>
                </w:tcPr>
                <w:p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</w:rPr>
                  </w:pPr>
                </w:p>
              </w:tc>
              <w:tc>
                <w:tcPr>
                  <w:tcW w:w="711" w:type="pct"/>
                  <w:vAlign w:val="center"/>
                </w:tcPr>
                <w:p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</w:rPr>
                  </w:pPr>
                </w:p>
              </w:tc>
              <w:tc>
                <w:tcPr>
                  <w:tcW w:w="1500" w:type="pct"/>
                  <w:vAlign w:val="center"/>
                </w:tcPr>
                <w:p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</w:rPr>
                  </w:pPr>
                </w:p>
              </w:tc>
              <w:tc>
                <w:tcPr>
                  <w:tcW w:w="1500" w:type="pct"/>
                  <w:vAlign w:val="center"/>
                </w:tcPr>
                <w:p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796" w:hRule="atLeast"/>
                <w:jc w:val="center"/>
              </w:trPr>
              <w:tc>
                <w:tcPr>
                  <w:tcW w:w="428" w:type="pct"/>
                  <w:vAlign w:val="center"/>
                </w:tcPr>
                <w:p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</w:rPr>
                  </w:pPr>
                </w:p>
              </w:tc>
              <w:tc>
                <w:tcPr>
                  <w:tcW w:w="860" w:type="pct"/>
                  <w:vAlign w:val="center"/>
                </w:tcPr>
                <w:p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</w:rPr>
                  </w:pPr>
                </w:p>
              </w:tc>
              <w:tc>
                <w:tcPr>
                  <w:tcW w:w="711" w:type="pct"/>
                  <w:vAlign w:val="center"/>
                </w:tcPr>
                <w:p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</w:rPr>
                  </w:pPr>
                </w:p>
              </w:tc>
              <w:tc>
                <w:tcPr>
                  <w:tcW w:w="1500" w:type="pct"/>
                  <w:vAlign w:val="center"/>
                </w:tcPr>
                <w:p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</w:rPr>
                  </w:pPr>
                </w:p>
              </w:tc>
              <w:tc>
                <w:tcPr>
                  <w:tcW w:w="1500" w:type="pct"/>
                  <w:vAlign w:val="center"/>
                </w:tcPr>
                <w:p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</w:rPr>
                  </w:pPr>
                </w:p>
              </w:tc>
            </w:tr>
          </w:tbl>
          <w:p>
            <w:pPr>
              <w:spacing w:before="230" w:line="219" w:lineRule="auto"/>
              <w:rPr>
                <w:spacing w:val="-4"/>
                <w:sz w:val="24"/>
              </w:rPr>
            </w:pPr>
          </w:p>
          <w:p>
            <w:pPr>
              <w:spacing w:before="230" w:line="219" w:lineRule="auto"/>
              <w:rPr>
                <w:rFonts w:ascii="宋体" w:hAnsi="宋体" w:cs="宋体"/>
                <w:spacing w:val="-4"/>
                <w:sz w:val="24"/>
              </w:rPr>
            </w:pPr>
          </w:p>
        </w:tc>
      </w:tr>
    </w:tbl>
    <w:p>
      <w:pPr>
        <w:spacing w:before="230" w:line="219" w:lineRule="auto"/>
        <w:ind w:left="420" w:leftChars="200"/>
        <w:rPr>
          <w:rFonts w:ascii="宋体" w:hAnsi="宋体" w:cs="宋体"/>
          <w:spacing w:val="-4"/>
          <w:sz w:val="24"/>
        </w:rPr>
      </w:pPr>
    </w:p>
    <w:p>
      <w:pPr>
        <w:spacing w:line="360" w:lineRule="auto"/>
        <w:jc w:val="left"/>
        <w:textAlignment w:val="center"/>
        <w:outlineLvl w:val="0"/>
        <w:rPr>
          <w:rFonts w:hint="default" w:ascii="Times New Roman" w:hAnsi="Times New Roman" w:eastAsia="黑体" w:cs="Times New Roman"/>
          <w:caps w:val="0"/>
          <w:color w:val="auto"/>
          <w:spacing w:val="0"/>
          <w:kern w:val="2"/>
          <w:position w:val="0"/>
          <w:sz w:val="28"/>
          <w:szCs w:val="28"/>
          <w:lang w:val="en-US" w:eastAsia="zh-CN" w:bidi="ar-SA"/>
        </w:rPr>
      </w:pPr>
      <w:r>
        <w:rPr>
          <w:rStyle w:val="32"/>
          <w:sz w:val="24"/>
          <w:szCs w:val="22"/>
        </w:rPr>
        <w:br w:type="page"/>
      </w:r>
      <w:bookmarkStart w:id="34" w:name="_Toc7868"/>
      <w:r>
        <w:rPr>
          <w:rFonts w:hint="default" w:ascii="Times New Roman" w:hAnsi="Times New Roman" w:eastAsia="黑体" w:cs="Times New Roman"/>
          <w:caps w:val="0"/>
          <w:color w:val="auto"/>
          <w:spacing w:val="0"/>
          <w:kern w:val="2"/>
          <w:position w:val="0"/>
          <w:sz w:val="28"/>
          <w:szCs w:val="28"/>
          <w:lang w:val="en-US" w:eastAsia="zh-CN" w:bidi="ar-SA"/>
        </w:rPr>
        <w:t>附录C</w:t>
      </w:r>
      <w:bookmarkEnd w:id="34"/>
      <w:r>
        <w:rPr>
          <w:rFonts w:hint="eastAsia" w:ascii="Times New Roman" w:hAnsi="Times New Roman" w:eastAsia="黑体" w:cs="Times New Roman"/>
          <w:caps w:val="0"/>
          <w:color w:val="auto"/>
          <w:spacing w:val="0"/>
          <w:kern w:val="2"/>
          <w:position w:val="0"/>
          <w:sz w:val="28"/>
          <w:szCs w:val="28"/>
          <w:lang w:val="en-US" w:eastAsia="zh-CN" w:bidi="ar-SA"/>
        </w:rPr>
        <w:t xml:space="preserve"> </w:t>
      </w:r>
    </w:p>
    <w:p>
      <w:pPr>
        <w:pageBreakBefore w:val="0"/>
        <w:kinsoku/>
        <w:wordWrap/>
        <w:overflowPunct/>
        <w:topLinePunct w:val="0"/>
        <w:bidi w:val="0"/>
        <w:spacing w:line="360" w:lineRule="auto"/>
        <w:ind w:left="2091" w:leftChars="0" w:hanging="2091" w:hangingChars="747"/>
        <w:jc w:val="center"/>
        <w:textAlignment w:val="center"/>
        <w:outlineLvl w:val="0"/>
        <w:rPr>
          <w:rFonts w:hint="eastAsia" w:ascii="Times New Roman" w:hAnsi="Times New Roman" w:eastAsia="黑体" w:cs="Times New Roman"/>
          <w:caps w:val="0"/>
          <w:color w:val="auto"/>
          <w:spacing w:val="0"/>
          <w:position w:val="0"/>
          <w:sz w:val="28"/>
          <w:szCs w:val="28"/>
          <w:lang w:val="en-US" w:eastAsia="zh-CN"/>
        </w:rPr>
      </w:pPr>
      <w:bookmarkStart w:id="35" w:name="_Toc11627"/>
      <w:r>
        <w:rPr>
          <w:rFonts w:hint="eastAsia" w:ascii="Times New Roman" w:hAnsi="Times New Roman" w:eastAsia="黑体" w:cs="Times New Roman"/>
          <w:caps w:val="0"/>
          <w:color w:val="auto"/>
          <w:spacing w:val="0"/>
          <w:position w:val="0"/>
          <w:sz w:val="28"/>
          <w:szCs w:val="28"/>
          <w:lang w:val="en-US" w:eastAsia="zh-CN"/>
        </w:rPr>
        <w:t>微量进样器容量测量结果不确定度评定示例</w:t>
      </w:r>
      <w:bookmarkEnd w:id="3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center"/>
        <w:rPr>
          <w:rFonts w:hint="eastAsia" w:ascii="黑体" w:hAnsi="黑体" w:eastAsia="黑体" w:cs="黑体"/>
          <w:caps w:val="0"/>
          <w:color w:val="auto"/>
          <w:spacing w:val="0"/>
          <w:position w:val="0"/>
          <w:sz w:val="24"/>
        </w:rPr>
      </w:pPr>
      <w:r>
        <w:rPr>
          <w:rFonts w:hint="eastAsia" w:ascii="黑体" w:hAnsi="黑体" w:eastAsia="黑体" w:cs="黑体"/>
          <w:caps w:val="0"/>
          <w:color w:val="auto"/>
          <w:spacing w:val="0"/>
          <w:position w:val="0"/>
          <w:sz w:val="24"/>
        </w:rPr>
        <w:t xml:space="preserve">C.1 </w:t>
      </w:r>
      <w:r>
        <w:rPr>
          <w:rFonts w:hint="eastAsia" w:ascii="黑体" w:hAnsi="黑体" w:eastAsia="黑体" w:cs="黑体"/>
          <w:caps w:val="0"/>
          <w:color w:val="auto"/>
          <w:spacing w:val="0"/>
          <w:position w:val="0"/>
          <w:sz w:val="24"/>
          <w:lang w:val="en-US" w:eastAsia="zh-CN"/>
        </w:rPr>
        <w:t xml:space="preserve"> </w:t>
      </w:r>
      <w:r>
        <w:rPr>
          <w:rFonts w:hint="eastAsia" w:ascii="黑体" w:hAnsi="黑体" w:eastAsia="黑体" w:cs="黑体"/>
          <w:caps w:val="0"/>
          <w:color w:val="auto"/>
          <w:spacing w:val="0"/>
          <w:position w:val="0"/>
          <w:sz w:val="24"/>
        </w:rPr>
        <w:t>概述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 xml:space="preserve">C.1.1 </w:t>
      </w:r>
      <w:r>
        <w:rPr>
          <w:rFonts w:hint="eastAsia" w:ascii="宋体" w:hAnsi="宋体" w:cs="宋体"/>
          <w:caps w:val="0"/>
          <w:color w:val="auto"/>
          <w:spacing w:val="0"/>
          <w:position w:val="0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被校仪器：200</w:t>
      </w:r>
      <w:r>
        <w:rPr>
          <w:rFonts w:hint="eastAsia" w:ascii="宋体" w:hAnsi="宋体" w:cs="宋体"/>
          <w:caps w:val="0"/>
          <w:color w:val="auto"/>
          <w:spacing w:val="0"/>
          <w:position w:val="0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μL微量进样器。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 xml:space="preserve">C.1.2 </w:t>
      </w:r>
      <w:r>
        <w:rPr>
          <w:rFonts w:hint="eastAsia" w:ascii="宋体" w:hAnsi="宋体" w:cs="宋体"/>
          <w:caps w:val="0"/>
          <w:color w:val="auto"/>
          <w:spacing w:val="0"/>
          <w:position w:val="0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测量标准：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电子天平：（0～230）g，分度值：0.01 mg；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温度计：（0～50）℃，分度值：0.1℃；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秒表：（0～3600）s，分辨力优于0.1 s。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 xml:space="preserve">C.1.3 </w:t>
      </w:r>
      <w:r>
        <w:rPr>
          <w:rFonts w:hint="eastAsia" w:ascii="宋体" w:hAnsi="宋体" w:cs="宋体"/>
          <w:caps w:val="0"/>
          <w:color w:val="auto"/>
          <w:spacing w:val="0"/>
          <w:position w:val="0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环境条件：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实验室环境温度：20.2℃；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实验室环境湿度：45%RH；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校准过程中实验室环境温度变化不大于1℃/h；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实验室环境温度与水温之差不超过±2℃。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center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position w:val="0"/>
          <w:sz w:val="24"/>
        </w:rPr>
        <w:t xml:space="preserve">C.1.4 </w:t>
      </w:r>
      <w:r>
        <w:rPr>
          <w:rFonts w:hint="eastAsia" w:ascii="宋体" w:hAnsi="宋体" w:cs="宋体"/>
          <w:i w:val="0"/>
          <w:iCs w:val="0"/>
          <w:caps w:val="0"/>
          <w:color w:val="auto"/>
          <w:spacing w:val="0"/>
          <w:position w:val="0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position w:val="0"/>
          <w:sz w:val="24"/>
        </w:rPr>
        <w:t>测量方法：依据本规范中的规定。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center"/>
        <w:rPr>
          <w:rFonts w:hint="eastAsia" w:ascii="黑体" w:hAnsi="黑体" w:eastAsia="黑体" w:cs="黑体"/>
          <w:caps w:val="0"/>
          <w:color w:val="auto"/>
          <w:spacing w:val="0"/>
          <w:position w:val="0"/>
          <w:sz w:val="24"/>
        </w:rPr>
      </w:pPr>
      <w:r>
        <w:rPr>
          <w:rFonts w:hint="eastAsia" w:ascii="黑体" w:hAnsi="黑体" w:eastAsia="黑体" w:cs="黑体"/>
          <w:caps w:val="0"/>
          <w:color w:val="auto"/>
          <w:spacing w:val="0"/>
          <w:position w:val="0"/>
          <w:sz w:val="24"/>
        </w:rPr>
        <w:t xml:space="preserve">C.2 </w:t>
      </w:r>
      <w:r>
        <w:rPr>
          <w:rFonts w:hint="eastAsia" w:ascii="黑体" w:hAnsi="黑体" w:eastAsia="黑体" w:cs="黑体"/>
          <w:caps w:val="0"/>
          <w:color w:val="auto"/>
          <w:spacing w:val="0"/>
          <w:position w:val="0"/>
          <w:sz w:val="24"/>
          <w:lang w:val="en-US" w:eastAsia="zh-CN"/>
        </w:rPr>
        <w:t xml:space="preserve"> </w:t>
      </w:r>
      <w:r>
        <w:rPr>
          <w:rFonts w:hint="eastAsia" w:ascii="黑体" w:hAnsi="黑体" w:eastAsia="黑体" w:cs="黑体"/>
          <w:caps w:val="0"/>
          <w:color w:val="auto"/>
          <w:spacing w:val="0"/>
          <w:position w:val="0"/>
          <w:sz w:val="24"/>
        </w:rPr>
        <w:t>测量模型</w:t>
      </w:r>
    </w:p>
    <w:p>
      <w:pPr>
        <w:topLinePunct/>
        <w:snapToGrid w:val="0"/>
        <w:spacing w:line="360" w:lineRule="auto"/>
        <w:ind w:firstLine="480" w:firstLineChars="200"/>
        <w:jc w:val="center"/>
        <w:textAlignment w:val="baseline"/>
        <w:rPr>
          <w:rFonts w:eastAsiaTheme="minorEastAsia"/>
          <w:kern w:val="0"/>
          <w:position w:val="-30"/>
          <w:sz w:val="24"/>
        </w:rPr>
      </w:pPr>
    </w:p>
    <w:p>
      <w:pPr>
        <w:snapToGrid w:val="0"/>
        <w:spacing w:line="360" w:lineRule="auto"/>
        <w:ind w:firstLine="480" w:firstLineChars="200"/>
        <w:jc w:val="right"/>
        <w:textAlignment w:val="baseline"/>
        <w:rPr>
          <w:rFonts w:ascii="黑体" w:hAnsi="黑体" w:eastAsia="黑体" w:cs="黑体"/>
          <w:kern w:val="0"/>
          <w:sz w:val="24"/>
        </w:rPr>
      </w:pPr>
      <w:r>
        <w:rPr>
          <w:rFonts w:eastAsiaTheme="minorEastAsia"/>
          <w:kern w:val="0"/>
          <w:position w:val="-12"/>
          <w:sz w:val="24"/>
        </w:rPr>
        <w:object>
          <v:shape id="_x0000_i1042" o:spt="75" type="#_x0000_t75" style="height:18pt;width:65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f"/>
            <w10:wrap type="none"/>
            <w10:anchorlock/>
          </v:shape>
          <o:OLEObject Type="Embed" ProgID="Equation.3" ShapeID="_x0000_i1042" DrawAspect="Content" ObjectID="_1468075743" r:id="rId53">
            <o:LockedField>false</o:LockedField>
          </o:OLEObject>
        </w:object>
      </w:r>
      <w:r>
        <w:rPr>
          <w:rFonts w:eastAsiaTheme="minorEastAsia"/>
          <w:kern w:val="0"/>
          <w:sz w:val="24"/>
        </w:rPr>
        <w:t xml:space="preserve">                          </w:t>
      </w:r>
      <w:r>
        <w:rPr>
          <w:rFonts w:hint="eastAsia" w:eastAsiaTheme="minorEastAsia"/>
          <w:kern w:val="0"/>
          <w:sz w:val="24"/>
        </w:rPr>
        <w:t>（C.1）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式中：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default" w:ascii="Times New Roman" w:hAnsi="Times New Roman" w:eastAsia="宋体" w:cs="Times New Roman"/>
          <w:i/>
          <w:iCs/>
          <w:caps w:val="0"/>
          <w:color w:val="auto"/>
          <w:spacing w:val="0"/>
          <w:position w:val="0"/>
          <w:sz w:val="24"/>
        </w:rPr>
        <w:t>V</w:t>
      </w:r>
      <w:r>
        <w:rPr>
          <w:rFonts w:hint="default" w:ascii="Times New Roman" w:hAnsi="Times New Roman" w:eastAsia="宋体" w:cs="Times New Roman"/>
          <w:i/>
          <w:iCs/>
          <w:caps w:val="0"/>
          <w:color w:val="auto"/>
          <w:spacing w:val="0"/>
          <w:position w:val="0"/>
          <w:sz w:val="24"/>
          <w:vertAlign w:val="subscript"/>
        </w:rPr>
        <w:t>20</w:t>
      </w:r>
      <w:r>
        <w:rPr>
          <w:rFonts w:hint="eastAsia" w:ascii="Times New Roman" w:hAnsi="Times New Roman" w:cs="Times New Roman"/>
          <w:i/>
          <w:iCs/>
          <w:caps w:val="0"/>
          <w:color w:val="auto"/>
          <w:spacing w:val="0"/>
          <w:position w:val="0"/>
          <w:sz w:val="24"/>
          <w:vertAlign w:val="subscript"/>
          <w:lang w:val="en-US" w:eastAsia="zh-CN"/>
        </w:rPr>
        <w:t xml:space="preserve"> </w:t>
      </w:r>
      <w:r>
        <w:rPr>
          <w:bCs/>
          <w:sz w:val="24"/>
        </w:rPr>
        <w:t>——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标准温度20℃时的微量进样器的实际容量，μL；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Times New Roman" w:hAnsi="Times New Roman" w:cs="Times New Roman"/>
          <w:i/>
          <w:iCs/>
          <w:caps w:val="0"/>
          <w:color w:val="auto"/>
          <w:spacing w:val="0"/>
          <w:position w:val="0"/>
          <w:sz w:val="24"/>
          <w:lang w:val="en-US" w:eastAsia="zh-CN"/>
        </w:rPr>
        <w:t xml:space="preserve"> m </w:t>
      </w:r>
      <w:r>
        <w:rPr>
          <w:bCs/>
          <w:sz w:val="24"/>
        </w:rPr>
        <w:t>——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被校微量进样器所</w:t>
      </w:r>
      <w:r>
        <w:rPr>
          <w:rFonts w:hint="eastAsia" w:ascii="宋体" w:hAnsi="宋体" w:cs="宋体"/>
          <w:caps w:val="0"/>
          <w:color w:val="auto"/>
          <w:spacing w:val="0"/>
          <w:position w:val="0"/>
          <w:sz w:val="24"/>
          <w:lang w:eastAsia="zh-CN"/>
        </w:rPr>
        <w:t>排除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的纯水表观质量，g；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default" w:ascii="Times New Roman" w:hAnsi="Times New Roman" w:eastAsia="宋体" w:cs="Times New Roman"/>
          <w:i/>
          <w:iCs/>
          <w:caps w:val="0"/>
          <w:color w:val="auto"/>
          <w:spacing w:val="0"/>
          <w:position w:val="0"/>
          <w:sz w:val="24"/>
        </w:rPr>
        <w:t>K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position w:val="0"/>
          <w:sz w:val="24"/>
        </w:rPr>
        <w:t>(</w:t>
      </w:r>
      <w:r>
        <w:rPr>
          <w:rFonts w:hint="default" w:ascii="Times New Roman" w:hAnsi="Times New Roman" w:eastAsia="宋体" w:cs="Times New Roman"/>
          <w:i/>
          <w:iCs/>
          <w:caps w:val="0"/>
          <w:color w:val="auto"/>
          <w:spacing w:val="0"/>
          <w:position w:val="0"/>
          <w:sz w:val="24"/>
        </w:rPr>
        <w:t>t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position w:val="0"/>
          <w:sz w:val="24"/>
        </w:rPr>
        <w:t>)</w:t>
      </w:r>
      <w:r>
        <w:rPr>
          <w:bCs/>
          <w:sz w:val="24"/>
        </w:rPr>
        <w:t>——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检测时介质纯水温度</w:t>
      </w:r>
      <w:r>
        <w:rPr>
          <w:rFonts w:hint="default" w:ascii="Times New Roman" w:hAnsi="Times New Roman" w:eastAsia="宋体" w:cs="Times New Roman"/>
          <w:i/>
          <w:iCs/>
          <w:caps w:val="0"/>
          <w:color w:val="auto"/>
          <w:spacing w:val="0"/>
          <w:position w:val="0"/>
          <w:sz w:val="24"/>
        </w:rPr>
        <w:t>t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℃对应的</w:t>
      </w:r>
      <w:r>
        <w:rPr>
          <w:rFonts w:hint="default" w:ascii="Times New Roman" w:hAnsi="Times New Roman" w:eastAsia="宋体" w:cs="Times New Roman"/>
          <w:i/>
          <w:iCs/>
          <w:caps w:val="0"/>
          <w:color w:val="auto"/>
          <w:spacing w:val="0"/>
          <w:position w:val="0"/>
          <w:sz w:val="24"/>
        </w:rPr>
        <w:t>K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position w:val="0"/>
          <w:sz w:val="24"/>
        </w:rPr>
        <w:t>(</w:t>
      </w:r>
      <w:r>
        <w:rPr>
          <w:rFonts w:hint="default" w:ascii="Times New Roman" w:hAnsi="Times New Roman" w:eastAsia="宋体" w:cs="Times New Roman"/>
          <w:i/>
          <w:iCs/>
          <w:caps w:val="0"/>
          <w:color w:val="auto"/>
          <w:spacing w:val="0"/>
          <w:position w:val="0"/>
          <w:sz w:val="24"/>
        </w:rPr>
        <w:t>t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position w:val="0"/>
          <w:sz w:val="24"/>
        </w:rPr>
        <w:t>)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值，cm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  <w:vertAlign w:val="superscript"/>
        </w:rPr>
        <w:t>3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/g。</w:t>
      </w:r>
    </w:p>
    <w:p>
      <w:pPr>
        <w:snapToGrid w:val="0"/>
        <w:spacing w:line="360" w:lineRule="auto"/>
        <w:textAlignment w:val="baseline"/>
        <w:rPr>
          <w:rFonts w:asciiTheme="minorEastAsia" w:hAnsiTheme="minorEastAsia" w:eastAsiaTheme="minorEastAsia"/>
          <w:kern w:val="0"/>
          <w:sz w:val="24"/>
        </w:rPr>
      </w:pPr>
      <w:r>
        <w:rPr>
          <w:rFonts w:hint="eastAsia" w:ascii="黑体" w:hAnsi="黑体" w:eastAsia="黑体" w:cs="黑体"/>
          <w:caps w:val="0"/>
          <w:color w:val="auto"/>
          <w:spacing w:val="0"/>
          <w:position w:val="0"/>
          <w:sz w:val="24"/>
        </w:rPr>
        <w:t xml:space="preserve">C.3 </w:t>
      </w:r>
      <w:r>
        <w:rPr>
          <w:rFonts w:hint="eastAsia" w:ascii="黑体" w:hAnsi="黑体" w:eastAsia="黑体" w:cs="黑体"/>
          <w:caps w:val="0"/>
          <w:color w:val="auto"/>
          <w:spacing w:val="0"/>
          <w:position w:val="0"/>
          <w:sz w:val="24"/>
          <w:lang w:val="en-US" w:eastAsia="zh-CN"/>
        </w:rPr>
        <w:t xml:space="preserve"> </w:t>
      </w:r>
      <w:r>
        <w:rPr>
          <w:rFonts w:hint="eastAsia" w:ascii="黑体" w:hAnsi="黑体" w:eastAsia="黑体" w:cs="黑体"/>
          <w:caps w:val="0"/>
          <w:color w:val="auto"/>
          <w:spacing w:val="0"/>
          <w:position w:val="0"/>
          <w:sz w:val="24"/>
        </w:rPr>
        <w:t>不确定度传播律和灵敏系数</w:t>
      </w:r>
      <w:r>
        <w:rPr>
          <w:rFonts w:asciiTheme="minorEastAsia" w:hAnsiTheme="minorEastAsia" w:eastAsiaTheme="minorEastAsia"/>
          <w:kern w:val="0"/>
          <w:sz w:val="24"/>
        </w:rPr>
        <w:t xml:space="preserve">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各输入量彼此独立不相关，因此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object>
          <v:shape id="_x0000_i1043" o:spt="75" type="#_x0000_t75" style="height:20pt;width:152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3" ShapeID="_x0000_i1043" DrawAspect="Content" ObjectID="_1468075744" r:id="rId55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bottom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-12"/>
          <w:sz w:val="24"/>
        </w:rPr>
        <w:object>
          <v:shape id="_x0000_i1044" o:spt="75" type="#_x0000_t75" style="height:18pt;width:13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3" ShapeID="_x0000_i1044" DrawAspect="Content" ObjectID="_1468075745" r:id="rId57">
            <o:LockedField>false</o:LockedField>
          </o:OLEObject>
        </w:object>
      </w:r>
      <w:r>
        <w:rPr>
          <w:rFonts w:hint="eastAsia" w:ascii="宋体" w:hAnsi="宋体" w:cs="宋体"/>
          <w:caps w:val="0"/>
          <w:color w:val="auto"/>
          <w:spacing w:val="0"/>
          <w:position w:val="-12"/>
          <w:sz w:val="24"/>
          <w:lang w:val="en-US" w:eastAsia="zh-CN"/>
        </w:rPr>
        <w:t xml:space="preserve">   </w:t>
      </w:r>
      <w:r>
        <w:rPr>
          <w:bCs/>
          <w:sz w:val="24"/>
        </w:rPr>
        <w:t>——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测量结果的合成标准不确定度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object>
          <v:shape id="_x0000_i1045" o:spt="75" type="#_x0000_t75" style="height:16pt;width:27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3" ShapeID="_x0000_i1045" DrawAspect="Content" ObjectID="_1468075746" r:id="rId59">
            <o:LockedField>false</o:LockedField>
          </o:OLEObject>
        </w:object>
      </w:r>
      <w:r>
        <w:rPr>
          <w:rFonts w:hint="eastAsia" w:ascii="宋体" w:hAnsi="宋体" w:cs="宋体"/>
          <w:caps w:val="0"/>
          <w:color w:val="auto"/>
          <w:spacing w:val="0"/>
          <w:position w:val="0"/>
          <w:sz w:val="24"/>
          <w:lang w:val="en-US" w:eastAsia="zh-CN"/>
        </w:rPr>
        <w:t xml:space="preserve"> </w:t>
      </w:r>
      <w:r>
        <w:rPr>
          <w:bCs/>
          <w:sz w:val="24"/>
        </w:rPr>
        <w:t>——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输入量</w:t>
      </w:r>
      <w:r>
        <w:rPr>
          <w:rFonts w:hint="default" w:ascii="Times New Roman" w:hAnsi="Times New Roman" w:eastAsia="宋体" w:cs="Times New Roman"/>
          <w:i/>
          <w:iCs/>
          <w:caps w:val="0"/>
          <w:color w:val="auto"/>
          <w:spacing w:val="0"/>
          <w:position w:val="0"/>
          <w:sz w:val="24"/>
        </w:rPr>
        <w:t>m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引入的标准不确定度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object>
          <v:shape id="_x0000_i1046" o:spt="75" type="#_x0000_t75" style="height:17pt;width:37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3" ShapeID="_x0000_i1046" DrawAspect="Content" ObjectID="_1468075747" r:id="rId61">
            <o:LockedField>false</o:LockedField>
          </o:OLEObject>
        </w:object>
      </w:r>
      <w:r>
        <w:rPr>
          <w:bCs/>
          <w:sz w:val="24"/>
        </w:rPr>
        <w:t>——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输入量</w:t>
      </w:r>
      <w:r>
        <w:rPr>
          <w:rFonts w:hint="default" w:ascii="Times New Roman" w:hAnsi="Times New Roman" w:eastAsia="宋体" w:cs="Times New Roman"/>
          <w:i/>
          <w:iCs/>
          <w:caps w:val="0"/>
          <w:color w:val="auto"/>
          <w:spacing w:val="0"/>
          <w:position w:val="0"/>
          <w:sz w:val="24"/>
        </w:rPr>
        <w:t>m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引入的标准不确定度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灵敏系数：</w:t>
      </w:r>
      <w:r>
        <w:rPr>
          <w:rFonts w:hint="eastAsia" w:ascii="宋体" w:hAnsi="宋体" w:cs="宋体"/>
          <w:caps w:val="0"/>
          <w:color w:val="auto"/>
          <w:spacing w:val="0"/>
          <w:position w:val="0"/>
          <w:sz w:val="24"/>
          <w:lang w:val="en-US" w:eastAsia="zh-CN"/>
        </w:rPr>
        <w:t xml:space="preserve">                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object>
          <v:shape id="_x0000_i1047" o:spt="75" type="#_x0000_t75" style="height:31.1pt;width:81pt;" o:ole="t" filled="f" o:preferrelative="t" stroked="f" coordsize="21600,21600">
            <v:path/>
            <v:fill on="f" focussize="0,0"/>
            <v:stroke on="f"/>
            <v:imagedata r:id="rId64" o:title=""/>
            <o:lock v:ext="edit" aspectratio="t"/>
            <w10:wrap type="none"/>
            <w10:anchorlock/>
          </v:shape>
          <o:OLEObject Type="Embed" ProgID="Equation.DSMT4" ShapeID="_x0000_i1047" DrawAspect="Content" ObjectID="_1468075748" r:id="rId63">
            <o:LockedField>false</o:LockedField>
          </o:OLEObject>
        </w:objec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0" w:firstLineChars="1500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object>
          <v:shape id="_x0000_i1048" o:spt="75" type="#_x0000_t75" style="height:35pt;width:78pt;" o:ole="t" filled="f" o:preferrelative="t" stroked="f" coordsize="21600,21600">
            <v:path/>
            <v:fill on="f" focussize="0,0"/>
            <v:stroke on="f"/>
            <v:imagedata r:id="rId66" o:title=""/>
            <o:lock v:ext="edit" aspectratio="t"/>
            <w10:wrap type="none"/>
            <w10:anchorlock/>
          </v:shape>
          <o:OLEObject Type="Embed" ProgID="Equation.DSMT4" ShapeID="_x0000_i1048" DrawAspect="Content" ObjectID="_1468075749" r:id="rId65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因校准温度为20.2℃，查表得</w:t>
      </w:r>
      <w:r>
        <w:rPr>
          <w:rFonts w:hint="default" w:ascii="Times New Roman" w:hAnsi="Times New Roman" w:eastAsia="宋体" w:cs="Times New Roman"/>
          <w:i/>
          <w:iCs/>
          <w:caps w:val="0"/>
          <w:color w:val="auto"/>
          <w:spacing w:val="0"/>
          <w:position w:val="0"/>
          <w:sz w:val="24"/>
        </w:rPr>
        <w:t>K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position w:val="0"/>
          <w:sz w:val="24"/>
        </w:rPr>
        <w:t>(</w:t>
      </w:r>
      <w:r>
        <w:rPr>
          <w:rFonts w:hint="default" w:ascii="Times New Roman" w:hAnsi="Times New Roman" w:eastAsia="宋体" w:cs="Times New Roman"/>
          <w:i/>
          <w:iCs/>
          <w:caps w:val="0"/>
          <w:color w:val="auto"/>
          <w:spacing w:val="0"/>
          <w:position w:val="0"/>
          <w:sz w:val="24"/>
        </w:rPr>
        <w:t>t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position w:val="0"/>
          <w:sz w:val="24"/>
        </w:rPr>
        <w:t>)</w:t>
      </w:r>
      <w:r>
        <w:rPr>
          <w:rFonts w:hint="default" w:ascii="Times New Roman" w:hAnsi="Times New Roman" w:eastAsia="宋体" w:cs="Times New Roman"/>
          <w:caps w:val="0"/>
          <w:color w:val="auto"/>
          <w:spacing w:val="0"/>
          <w:position w:val="0"/>
          <w:sz w:val="24"/>
        </w:rPr>
        <w:t>=1.00289</w:t>
      </w:r>
      <w:r>
        <w:rPr>
          <w:rFonts w:hint="default" w:ascii="Times New Roman" w:hAnsi="Times New Roman" w:eastAsia="宋体" w:cs="Times New Roman"/>
          <w:caps w:val="0"/>
          <w:color w:val="auto"/>
          <w:spacing w:val="0"/>
          <w:positio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aps w:val="0"/>
          <w:color w:val="auto"/>
          <w:spacing w:val="0"/>
          <w:position w:val="0"/>
          <w:sz w:val="24"/>
        </w:rPr>
        <w:t>cm</w:t>
      </w:r>
      <w:r>
        <w:rPr>
          <w:rFonts w:hint="default" w:ascii="Times New Roman" w:hAnsi="Times New Roman" w:eastAsia="宋体" w:cs="Times New Roman"/>
          <w:caps w:val="0"/>
          <w:color w:val="auto"/>
          <w:spacing w:val="0"/>
          <w:position w:val="0"/>
          <w:sz w:val="24"/>
          <w:vertAlign w:val="superscript"/>
        </w:rPr>
        <w:t>3</w:t>
      </w:r>
      <w:r>
        <w:rPr>
          <w:rFonts w:hint="default" w:ascii="Times New Roman" w:hAnsi="Times New Roman" w:eastAsia="宋体" w:cs="Times New Roman"/>
          <w:caps w:val="0"/>
          <w:color w:val="auto"/>
          <w:spacing w:val="0"/>
          <w:position w:val="0"/>
          <w:sz w:val="24"/>
        </w:rPr>
        <w:t>/g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center"/>
        <w:rPr>
          <w:rFonts w:hint="eastAsia" w:ascii="黑体" w:hAnsi="黑体" w:eastAsia="黑体" w:cs="黑体"/>
          <w:caps w:val="0"/>
          <w:color w:val="auto"/>
          <w:spacing w:val="0"/>
          <w:position w:val="0"/>
          <w:sz w:val="24"/>
        </w:rPr>
      </w:pPr>
      <w:r>
        <w:rPr>
          <w:rFonts w:hint="eastAsia" w:ascii="黑体" w:hAnsi="黑体" w:eastAsia="黑体" w:cs="黑体"/>
          <w:caps w:val="0"/>
          <w:color w:val="auto"/>
          <w:spacing w:val="0"/>
          <w:position w:val="0"/>
          <w:sz w:val="24"/>
        </w:rPr>
        <w:t>C.4</w:t>
      </w:r>
      <w:r>
        <w:rPr>
          <w:rFonts w:hint="eastAsia" w:ascii="黑体" w:hAnsi="黑体" w:eastAsia="黑体" w:cs="黑体"/>
          <w:caps w:val="0"/>
          <w:color w:val="auto"/>
          <w:spacing w:val="0"/>
          <w:position w:val="0"/>
          <w:sz w:val="24"/>
          <w:lang w:val="en-US" w:eastAsia="zh-CN"/>
        </w:rPr>
        <w:t xml:space="preserve"> </w:t>
      </w:r>
      <w:r>
        <w:rPr>
          <w:rFonts w:hint="eastAsia" w:ascii="黑体" w:hAnsi="黑体" w:eastAsia="黑体" w:cs="黑体"/>
          <w:caps w:val="0"/>
          <w:color w:val="auto"/>
          <w:spacing w:val="0"/>
          <w:position w:val="0"/>
          <w:sz w:val="24"/>
        </w:rPr>
        <w:t xml:space="preserve"> 标准不确定度分量评定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 xml:space="preserve">C.4.1 </w:t>
      </w:r>
      <w:r>
        <w:rPr>
          <w:rFonts w:hint="eastAsia" w:ascii="宋体" w:hAnsi="宋体" w:cs="宋体"/>
          <w:caps w:val="0"/>
          <w:color w:val="auto"/>
          <w:spacing w:val="0"/>
          <w:position w:val="0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由纯水表观质量引入的</w:t>
      </w:r>
      <w:r>
        <w:rPr>
          <w:rFonts w:hint="eastAsia" w:ascii="宋体" w:hAnsi="宋体" w:cs="宋体"/>
          <w:caps w:val="0"/>
          <w:color w:val="auto"/>
          <w:spacing w:val="0"/>
          <w:position w:val="0"/>
          <w:sz w:val="24"/>
          <w:lang w:eastAsia="zh-CN"/>
        </w:rPr>
        <w:t>标准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不确定度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object>
          <v:shape id="_x0000_i1049" o:spt="75" type="#_x0000_t75" style="height:16pt;width:27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3" ShapeID="_x0000_i1049" DrawAspect="Content" ObjectID="_1468075750" r:id="rId67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object>
          <v:shape id="_x0000_i1050" o:spt="75" type="#_x0000_t75" style="height:16pt;width:27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3" ShapeID="_x0000_i1050" DrawAspect="Content" ObjectID="_1468075751" r:id="rId68">
            <o:LockedField>false</o:LockedField>
          </o:OLEObject>
        </w:objec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由两个分量组成，即微量进样器排除的纯水质量测量重复性引入的不确定度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object>
          <v:shape id="_x0000_i1051" o:spt="75" type="#_x0000_t75" style="height:17pt;width:31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3" ShapeID="_x0000_i1051" DrawAspect="Content" ObjectID="_1468075752" r:id="rId69">
            <o:LockedField>false</o:LockedField>
          </o:OLEObject>
        </w:objec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和电子天平引入的不确定度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object>
          <v:shape id="_x0000_i1052" o:spt="75" type="#_x0000_t75" style="height:17pt;width:33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3" ShapeID="_x0000_i1052" DrawAspect="Content" ObjectID="_1468075753" r:id="rId71">
            <o:LockedField>false</o:LockedField>
          </o:OLEObject>
        </w:objec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 xml:space="preserve">C.4.1.1 </w:t>
      </w:r>
      <w:r>
        <w:rPr>
          <w:rFonts w:hint="eastAsia" w:ascii="宋体" w:hAnsi="宋体" w:cs="宋体"/>
          <w:caps w:val="0"/>
          <w:color w:val="auto"/>
          <w:spacing w:val="0"/>
          <w:position w:val="0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由测量重复性引入的标准不确定度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object>
          <v:shape id="_x0000_i1053" o:spt="75" type="#_x0000_t75" style="height:17pt;width:31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3" ShapeID="_x0000_i1053" DrawAspect="Content" ObjectID="_1468075754" r:id="rId73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在水温20.2℃时，用电子天平称量微量进样器</w:t>
      </w:r>
      <w:r>
        <w:rPr>
          <w:rFonts w:hint="eastAsia" w:ascii="宋体" w:hAnsi="宋体" w:cs="宋体"/>
          <w:caps w:val="0"/>
          <w:color w:val="auto"/>
          <w:spacing w:val="0"/>
          <w:position w:val="0"/>
          <w:sz w:val="24"/>
          <w:lang w:val="en-US" w:eastAsia="zh-CN"/>
        </w:rPr>
        <w:t>排除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纯水的质量，连续测量6次得到的测量值为198.12 mg，197.51 mg，195.58 mg，196.65 mg，198.09 mg，196.54 mg。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质量的平均值为：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object>
          <v:shape id="_x0000_i1054" o:spt="75" type="#_x0000_t75" style="height:16pt;width:72.1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3" ShapeID="_x0000_i1054" DrawAspect="Content" ObjectID="_1468075755" r:id="rId75">
            <o:LockedField>false</o:LockedField>
          </o:OLEObject>
        </w:objec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标准偏差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  <w:lang w:eastAsia="zh-CN"/>
        </w:rPr>
        <w:t>：</w:t>
      </w:r>
      <w:r>
        <w:rPr>
          <w:rFonts w:hint="eastAsia" w:ascii="宋体" w:hAnsi="宋体" w:cs="宋体"/>
          <w:caps w:val="0"/>
          <w:color w:val="auto"/>
          <w:spacing w:val="0"/>
          <w:position w:val="0"/>
          <w:sz w:val="24"/>
          <w:lang w:val="en-US" w:eastAsia="zh-CN"/>
        </w:rPr>
        <w:t xml:space="preserve">                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object>
          <v:shape id="_x0000_i1055" o:spt="75" type="#_x0000_t75" style="height:52pt;width:128pt;" o:ole="t" filled="f" o:preferrelative="t" stroked="f" coordsize="21600,21600">
            <v:path/>
            <v:fill on="f" focussize="0,0"/>
            <v:stroke on="f"/>
            <v:imagedata r:id="rId78" o:title=""/>
            <o:lock v:ext="edit" aspectratio="f"/>
            <w10:wrap type="none"/>
            <w10:anchorlock/>
          </v:shape>
          <o:OLEObject Type="Embed" ProgID="Equation.DSMT4" ShapeID="_x0000_i1055" DrawAspect="Content" ObjectID="_1468075756" r:id="rId77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  <w:lang w:eastAsia="zh-CN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以6次测量的平均值作为最佳估计值，则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object>
          <v:shape id="_x0000_i1056" o:spt="75" type="#_x0000_t75" style="height:33pt;width:121pt;" o:ole="t" filled="f" o:preferrelative="t" stroked="f" coordsize="21600,21600">
            <v:path/>
            <v:fill on="f" focussize="0,0"/>
            <v:stroke on="f"/>
            <v:imagedata r:id="rId80" o:title=""/>
            <o:lock v:ext="edit" aspectratio="t"/>
            <w10:wrap type="none"/>
            <w10:anchorlock/>
          </v:shape>
          <o:OLEObject Type="Embed" ProgID="Equation.3" ShapeID="_x0000_i1056" DrawAspect="Content" ObjectID="_1468075757" r:id="rId79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 xml:space="preserve">C.4.1.2 </w:t>
      </w:r>
      <w:r>
        <w:rPr>
          <w:rFonts w:hint="eastAsia" w:ascii="宋体" w:hAnsi="宋体" w:cs="宋体"/>
          <w:caps w:val="0"/>
          <w:color w:val="auto"/>
          <w:spacing w:val="0"/>
          <w:position w:val="0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由电子天平引入的标准不确定度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object>
          <v:shape id="_x0000_i1057" o:spt="75" type="#_x0000_t75" style="height:17pt;width:33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3" ShapeID="_x0000_i1057" DrawAspect="Content" ObjectID="_1468075758" r:id="rId81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电子天平在称量范围（0</w:t>
      </w:r>
      <w:r>
        <w:rPr>
          <w:rFonts w:hint="default" w:ascii="Times New Roman" w:hAnsi="Times New Roman" w:cs="Times New Roman"/>
          <w:caps w:val="0"/>
          <w:color w:val="auto"/>
          <w:spacing w:val="0"/>
          <w:position w:val="0"/>
          <w:sz w:val="24"/>
          <w:szCs w:val="24"/>
          <w:highlight w:val="none"/>
          <w:lang w:eastAsia="zh-CN"/>
        </w:rPr>
        <w:t>～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5）g时，最大允许误差为±0.05 mg。按均匀分布，取包含因子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object>
          <v:shape id="_x0000_i1058" o:spt="75" type="#_x0000_t75" style="height:18pt;width:37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3" ShapeID="_x0000_i1058" DrawAspect="Content" ObjectID="_1468075759" r:id="rId83">
            <o:LockedField>false</o:LockedField>
          </o:OLEObject>
        </w:objec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，故：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object>
          <v:shape id="_x0000_i1059" o:spt="75" type="#_x0000_t75" style="height:33pt;width:141pt;" o:ole="t" filled="f" o:preferrelative="t" stroked="f" coordsize="21600,21600">
            <v:path/>
            <v:fill on="f" focussize="0,0"/>
            <v:stroke on="f"/>
            <v:imagedata r:id="rId86" o:title=""/>
            <o:lock v:ext="edit" aspectratio="t"/>
            <w10:wrap type="none"/>
            <w10:anchorlock/>
          </v:shape>
          <o:OLEObject Type="Embed" ProgID="Equation.3" ShapeID="_x0000_i1059" DrawAspect="Content" ObjectID="_1468075760" r:id="rId85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-16"/>
          <w:sz w:val="24"/>
        </w:rPr>
        <w:object>
          <v:shape id="_x0000_i1060" o:spt="75" type="#_x0000_t75" style="height:24pt;width:189pt;" o:ole="t" filled="f" o:preferrelative="t" stroked="f" coordsize="21600,21600">
            <v:path/>
            <v:fill on="f" focussize="0,0"/>
            <v:stroke on="f"/>
            <v:imagedata r:id="rId88" o:title=""/>
            <o:lock v:ext="edit" aspectratio="t"/>
            <w10:wrap type="none"/>
            <w10:anchorlock/>
          </v:shape>
          <o:OLEObject Type="Embed" ProgID="Equation.3" ShapeID="_x0000_i1060" DrawAspect="Content" ObjectID="_1468075761" r:id="rId87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 xml:space="preserve">C.4.2 </w:t>
      </w:r>
      <w:r>
        <w:rPr>
          <w:rFonts w:hint="eastAsia" w:ascii="宋体" w:hAnsi="宋体" w:cs="宋体"/>
          <w:caps w:val="0"/>
          <w:color w:val="auto"/>
          <w:spacing w:val="0"/>
          <w:position w:val="0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由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object>
          <v:shape id="_x0000_i1061" o:spt="75" type="#_x0000_t75" style="height:17pt;width:24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3" ShapeID="_x0000_i1061" DrawAspect="Content" ObjectID="_1468075762" r:id="rId89">
            <o:LockedField>false</o:LockedField>
          </o:OLEObject>
        </w:objec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值引入的标准不确定度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object>
          <v:shape id="_x0000_i1062" o:spt="75" type="#_x0000_t75" style="height:17pt;width:37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3" ShapeID="_x0000_i1062" DrawAspect="Content" ObjectID="_1468075763" r:id="rId91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由于空气密度变化与水密度变化影响较小，在此刻忽略不计，只考虑温度计读数引入的不确定度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object>
          <v:shape id="_x0000_i1063" o:spt="75" type="#_x0000_t75" style="height:18pt;width:41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3" ShapeID="_x0000_i1063" DrawAspect="Content" ObjectID="_1468075764" r:id="rId92">
            <o:LockedField>false</o:LockedField>
          </o:OLEObject>
        </w:objec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和纯水的温差变化引入的不确定度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object>
          <v:shape id="_x0000_i1064" o:spt="75" type="#_x0000_t75" style="height:18pt;width:42.9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3" ShapeID="_x0000_i1064" DrawAspect="Content" ObjectID="_1468075765" r:id="rId94">
            <o:LockedField>false</o:LockedField>
          </o:OLEObject>
        </w:objec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 xml:space="preserve">C.4.2.1 </w:t>
      </w:r>
      <w:r>
        <w:rPr>
          <w:rFonts w:hint="eastAsia" w:ascii="宋体" w:hAnsi="宋体" w:cs="宋体"/>
          <w:caps w:val="0"/>
          <w:color w:val="auto"/>
          <w:spacing w:val="0"/>
          <w:position w:val="0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由温度计读数引入的</w:t>
      </w:r>
      <w:r>
        <w:rPr>
          <w:rFonts w:hint="eastAsia" w:ascii="宋体" w:hAnsi="宋体" w:cs="宋体"/>
          <w:caps w:val="0"/>
          <w:color w:val="auto"/>
          <w:spacing w:val="0"/>
          <w:position w:val="0"/>
          <w:sz w:val="24"/>
          <w:lang w:eastAsia="zh-CN"/>
        </w:rPr>
        <w:t>标准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不确定度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object>
          <v:shape id="_x0000_i1065" o:spt="75" type="#_x0000_t75" style="height:18pt;width:41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3" ShapeID="_x0000_i1065" DrawAspect="Content" ObjectID="_1468075766" r:id="rId9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温度计的分度值为0.1℃，由规范附录E可得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object>
          <v:shape id="_x0000_i1066" o:spt="75" type="#_x0000_t75" style="height:17pt;width:24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3" ShapeID="_x0000_i1066" DrawAspect="Content" ObjectID="_1468075767" r:id="rId98">
            <o:LockedField>false</o:LockedField>
          </o:OLEObject>
        </w:objec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取值最大差值为0.000</w:t>
      </w:r>
      <w:r>
        <w:rPr>
          <w:rFonts w:hint="eastAsia" w:ascii="宋体" w:hAnsi="宋体" w:cs="宋体"/>
          <w:caps w:val="0"/>
          <w:color w:val="auto"/>
          <w:spacing w:val="0"/>
          <w:position w:val="0"/>
          <w:sz w:val="24"/>
          <w:lang w:val="en-US" w:eastAsia="zh-CN"/>
        </w:rPr>
        <w:t>5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 xml:space="preserve"> cm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  <w:vertAlign w:val="superscript"/>
        </w:rPr>
        <w:t>3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/g（</w:t>
      </w:r>
      <w:r>
        <w:rPr>
          <w:rFonts w:hint="eastAsia" w:ascii="宋体" w:hAnsi="宋体" w:cs="宋体"/>
          <w:caps w:val="0"/>
          <w:color w:val="auto"/>
          <w:spacing w:val="0"/>
          <w:position w:val="0"/>
          <w:sz w:val="24"/>
          <w:lang w:val="en-US" w:eastAsia="zh-CN"/>
        </w:rPr>
        <w:t>如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2</w:t>
      </w:r>
      <w:r>
        <w:rPr>
          <w:rFonts w:hint="eastAsia" w:ascii="宋体" w:hAnsi="宋体" w:cs="宋体"/>
          <w:caps w:val="0"/>
          <w:color w:val="auto"/>
          <w:spacing w:val="0"/>
          <w:position w:val="0"/>
          <w:sz w:val="24"/>
          <w:lang w:val="en-US" w:eastAsia="zh-CN"/>
        </w:rPr>
        <w:t>4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.</w:t>
      </w:r>
      <w:r>
        <w:rPr>
          <w:rFonts w:hint="eastAsia" w:ascii="宋体" w:hAnsi="宋体" w:cs="宋体"/>
          <w:caps w:val="0"/>
          <w:color w:val="auto"/>
          <w:spacing w:val="0"/>
          <w:position w:val="0"/>
          <w:sz w:val="24"/>
          <w:lang w:val="en-US" w:eastAsia="zh-CN"/>
        </w:rPr>
        <w:t>4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℃与</w:t>
      </w:r>
      <w:r>
        <w:rPr>
          <w:rFonts w:hint="eastAsia" w:ascii="宋体" w:hAnsi="宋体" w:cs="宋体"/>
          <w:caps w:val="0"/>
          <w:color w:val="auto"/>
          <w:spacing w:val="0"/>
          <w:position w:val="0"/>
          <w:sz w:val="24"/>
          <w:lang w:val="en-US" w:eastAsia="zh-CN"/>
        </w:rPr>
        <w:t>24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.</w:t>
      </w:r>
      <w:r>
        <w:rPr>
          <w:rFonts w:hint="eastAsia" w:ascii="宋体" w:hAnsi="宋体" w:cs="宋体"/>
          <w:caps w:val="0"/>
          <w:color w:val="auto"/>
          <w:spacing w:val="0"/>
          <w:position w:val="0"/>
          <w:sz w:val="24"/>
          <w:lang w:val="en-US" w:eastAsia="zh-CN"/>
        </w:rPr>
        <w:t>6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℃时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object>
          <v:shape id="_x0000_i1067" o:spt="75" type="#_x0000_t75" style="height:17pt;width:24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3" ShapeID="_x0000_i1067" DrawAspect="Content" ObjectID="_1468075768" r:id="rId99">
            <o:LockedField>false</o:LockedField>
          </o:OLEObject>
        </w:objec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的差值），取半宽为0.000</w:t>
      </w:r>
      <w:r>
        <w:rPr>
          <w:rFonts w:hint="eastAsia" w:ascii="宋体" w:hAnsi="宋体" w:cs="宋体"/>
          <w:caps w:val="0"/>
          <w:color w:val="auto"/>
          <w:spacing w:val="0"/>
          <w:position w:val="0"/>
          <w:sz w:val="24"/>
          <w:lang w:val="en-US" w:eastAsia="zh-CN"/>
        </w:rPr>
        <w:t>25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 xml:space="preserve"> cm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  <w:vertAlign w:val="superscript"/>
        </w:rPr>
        <w:t>3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/g，按均匀分布，则：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-28"/>
          <w:sz w:val="24"/>
        </w:rPr>
        <w:object>
          <v:shape id="_x0000_i1068" o:spt="75" type="#_x0000_t75" style="height:35pt;width:221pt;" o:ole="t" filled="f" o:preferrelative="t" stroked="f" coordsize="21600,21600">
            <v:path/>
            <v:fill on="f" focussize="0,0"/>
            <v:stroke on="f"/>
            <v:imagedata r:id="rId101" o:title=""/>
            <o:lock v:ext="edit" aspectratio="f"/>
            <w10:wrap type="none"/>
            <w10:anchorlock/>
          </v:shape>
          <o:OLEObject Type="Embed" ProgID="Equation.DSMT4" ShapeID="_x0000_i1068" DrawAspect="Content" ObjectID="_1468075769" r:id="rId100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C.4.2.2</w:t>
      </w:r>
      <w:r>
        <w:rPr>
          <w:rFonts w:hint="eastAsia" w:ascii="宋体" w:hAnsi="宋体" w:cs="宋体"/>
          <w:caps w:val="0"/>
          <w:color w:val="auto"/>
          <w:spacing w:val="0"/>
          <w:position w:val="0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 xml:space="preserve"> 由测量过程中纯水的温差变化引入的</w:t>
      </w:r>
      <w:r>
        <w:rPr>
          <w:rFonts w:hint="eastAsia" w:ascii="宋体" w:hAnsi="宋体" w:cs="宋体"/>
          <w:caps w:val="0"/>
          <w:color w:val="auto"/>
          <w:spacing w:val="0"/>
          <w:position w:val="0"/>
          <w:sz w:val="24"/>
          <w:lang w:eastAsia="zh-CN"/>
        </w:rPr>
        <w:t>标准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不确定度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object>
          <v:shape id="_x0000_i1069" o:spt="75" type="#_x0000_t75" style="height:18pt;width:42.95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3" ShapeID="_x0000_i1069" DrawAspect="Content" ObjectID="_1468075770" r:id="rId102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测量过程中，纯水的温差变化一般为0.2℃，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object>
          <v:shape id="_x0000_i1070" o:spt="75" type="#_x0000_t75" style="height:17pt;width:24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3" ShapeID="_x0000_i1070" DrawAspect="Content" ObjectID="_1468075771" r:id="rId104">
            <o:LockedField>false</o:LockedField>
          </o:OLEObject>
        </w:objec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取最大值差为0.00</w:t>
      </w:r>
      <w:r>
        <w:rPr>
          <w:rFonts w:hint="eastAsia" w:ascii="宋体" w:hAnsi="宋体" w:cs="宋体"/>
          <w:caps w:val="0"/>
          <w:color w:val="auto"/>
          <w:spacing w:val="0"/>
          <w:position w:val="0"/>
          <w:sz w:val="24"/>
          <w:lang w:val="en-US" w:eastAsia="zh-CN"/>
        </w:rPr>
        <w:t>10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 xml:space="preserve"> cm</w:t>
      </w:r>
      <w:r>
        <w:rPr>
          <w:rFonts w:hint="eastAsia" w:ascii="宋体" w:hAnsi="宋体" w:cs="宋体"/>
          <w:caps w:val="0"/>
          <w:color w:val="auto"/>
          <w:spacing w:val="0"/>
          <w:position w:val="0"/>
          <w:sz w:val="24"/>
          <w:vertAlign w:val="superscript"/>
          <w:lang w:val="en-US" w:eastAsia="zh-CN"/>
        </w:rPr>
        <w:t>3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/g（</w:t>
      </w:r>
      <w:r>
        <w:rPr>
          <w:rFonts w:hint="eastAsia" w:ascii="宋体" w:hAnsi="宋体" w:cs="宋体"/>
          <w:caps w:val="0"/>
          <w:color w:val="auto"/>
          <w:spacing w:val="0"/>
          <w:position w:val="0"/>
          <w:sz w:val="24"/>
          <w:lang w:val="en-US" w:eastAsia="zh-CN"/>
        </w:rPr>
        <w:t>如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2</w:t>
      </w:r>
      <w:r>
        <w:rPr>
          <w:rFonts w:hint="eastAsia" w:ascii="宋体" w:hAnsi="宋体" w:cs="宋体"/>
          <w:caps w:val="0"/>
          <w:color w:val="auto"/>
          <w:spacing w:val="0"/>
          <w:position w:val="0"/>
          <w:sz w:val="24"/>
          <w:lang w:val="en-US" w:eastAsia="zh-CN"/>
        </w:rPr>
        <w:t>3.6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℃与</w:t>
      </w:r>
      <w:r>
        <w:rPr>
          <w:rFonts w:hint="eastAsia" w:ascii="宋体" w:hAnsi="宋体" w:cs="宋体"/>
          <w:caps w:val="0"/>
          <w:color w:val="auto"/>
          <w:spacing w:val="0"/>
          <w:position w:val="0"/>
          <w:sz w:val="24"/>
          <w:lang w:val="en-US" w:eastAsia="zh-CN"/>
        </w:rPr>
        <w:t>24.0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℃时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object>
          <v:shape id="_x0000_i1071" o:spt="75" type="#_x0000_t75" style="height:17pt;width:24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3" ShapeID="_x0000_i1071" DrawAspect="Content" ObjectID="_1468075772" r:id="rId105">
            <o:LockedField>false</o:LockedField>
          </o:OLEObject>
        </w:objec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的差值），取半宽为0.00</w:t>
      </w:r>
      <w:r>
        <w:rPr>
          <w:rFonts w:hint="eastAsia" w:ascii="宋体" w:hAnsi="宋体" w:cs="宋体"/>
          <w:caps w:val="0"/>
          <w:color w:val="auto"/>
          <w:spacing w:val="0"/>
          <w:position w:val="0"/>
          <w:sz w:val="24"/>
          <w:lang w:val="en-US" w:eastAsia="zh-CN"/>
        </w:rPr>
        <w:t>05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 xml:space="preserve"> cm</w:t>
      </w:r>
      <w:r>
        <w:rPr>
          <w:rFonts w:hint="eastAsia" w:ascii="宋体" w:hAnsi="宋体" w:cs="宋体"/>
          <w:caps w:val="0"/>
          <w:color w:val="auto"/>
          <w:spacing w:val="0"/>
          <w:position w:val="0"/>
          <w:sz w:val="24"/>
          <w:vertAlign w:val="superscript"/>
          <w:lang w:val="en-US" w:eastAsia="zh-CN"/>
        </w:rPr>
        <w:t>3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/g，按均匀分布，则：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-28"/>
          <w:sz w:val="24"/>
        </w:rPr>
        <w:object>
          <v:shape id="_x0000_i1072" o:spt="75" type="#_x0000_t75" style="height:35pt;width:216pt;" o:ole="t" filled="f" o:preferrelative="t" stroked="f" coordsize="21600,21600">
            <v:path/>
            <v:fill on="f" focussize="0,0"/>
            <v:stroke on="f"/>
            <v:imagedata r:id="rId107" o:title=""/>
            <o:lock v:ext="edit" aspectratio="f"/>
            <w10:wrap type="none"/>
            <w10:anchorlock/>
          </v:shape>
          <o:OLEObject Type="Embed" ProgID="Equation.DSMT4" ShapeID="_x0000_i1072" DrawAspect="Content" ObjectID="_1468075773" r:id="rId10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-18"/>
          <w:sz w:val="24"/>
        </w:rPr>
        <w:object>
          <v:shape id="_x0000_i1073" o:spt="75" type="#_x0000_t75" style="height:26pt;width:268pt;" o:ole="t" filled="f" o:preferrelative="t" stroked="f" coordsize="21600,21600">
            <v:path/>
            <v:fill on="f" focussize="0,0"/>
            <v:stroke on="f"/>
            <v:imagedata r:id="rId109" o:title=""/>
            <o:lock v:ext="edit" aspectratio="f"/>
            <w10:wrap type="none"/>
            <w10:anchorlock/>
          </v:shape>
          <o:OLEObject Type="Embed" ProgID="Equation.DSMT4" ShapeID="_x0000_i1073" DrawAspect="Content" ObjectID="_1468075774" r:id="rId108">
            <o:LockedField>false</o:LockedField>
          </o:OLEObject>
        </w:object>
      </w:r>
    </w:p>
    <w:p>
      <w:pPr>
        <w:pStyle w:val="35"/>
        <w:tabs>
          <w:tab w:val="left" w:pos="649"/>
        </w:tabs>
        <w:spacing w:line="360" w:lineRule="auto"/>
        <w:ind w:left="0" w:firstLine="0"/>
        <w:rPr>
          <w:b/>
          <w:bCs/>
          <w:sz w:val="24"/>
          <w:lang w:eastAsia="zh-CN"/>
        </w:rPr>
      </w:pPr>
      <w:r>
        <w:rPr>
          <w:rFonts w:hint="eastAsia" w:ascii="黑体" w:hAnsi="黑体" w:eastAsia="黑体" w:cs="黑体"/>
          <w:caps w:val="0"/>
          <w:color w:val="auto"/>
          <w:spacing w:val="0"/>
          <w:kern w:val="2"/>
          <w:position w:val="0"/>
          <w:sz w:val="24"/>
          <w:szCs w:val="24"/>
          <w:lang w:val="en-US" w:eastAsia="zh-CN" w:bidi="ar-SA"/>
        </w:rPr>
        <w:t>C.5  不确定度分量汇总表</w:t>
      </w:r>
      <w:r>
        <w:rPr>
          <w:rFonts w:hint="eastAsia"/>
          <w:b/>
          <w:bCs/>
          <w:sz w:val="24"/>
          <w:lang w:eastAsia="zh-CN"/>
        </w:rPr>
        <w:t xml:space="preserve"> </w:t>
      </w:r>
    </w:p>
    <w:p>
      <w:pPr>
        <w:spacing w:line="360" w:lineRule="auto"/>
        <w:ind w:firstLine="480"/>
        <w:jc w:val="center"/>
        <w:rPr>
          <w:rFonts w:hint="eastAsia" w:ascii="黑体" w:hAnsi="黑体" w:eastAsia="黑体" w:cs="黑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表C.1 不确定度分量汇总表</w:t>
      </w:r>
    </w:p>
    <w:tbl>
      <w:tblPr>
        <w:tblStyle w:val="23"/>
        <w:tblW w:w="489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25"/>
        <w:gridCol w:w="1860"/>
        <w:gridCol w:w="1880"/>
        <w:gridCol w:w="11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0" w:hRule="atLeast"/>
          <w:jc w:val="center"/>
        </w:trPr>
        <w:tc>
          <w:tcPr>
            <w:tcW w:w="232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不确定度来源</w:t>
            </w:r>
          </w:p>
        </w:tc>
        <w:tc>
          <w:tcPr>
            <w:tcW w:w="102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napToGrid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napToGrid w:val="0"/>
                <w:sz w:val="21"/>
                <w:szCs w:val="21"/>
              </w:rPr>
              <w:t>灵敏系数</w:t>
            </w:r>
            <w:r>
              <w:rPr>
                <w:rFonts w:hint="eastAsia" w:asciiTheme="minorEastAsia" w:hAnsiTheme="minorEastAsia" w:eastAsiaTheme="minorEastAsia" w:cstheme="minorEastAsia"/>
                <w:snapToGrid w:val="0"/>
                <w:position w:val="0"/>
                <w:sz w:val="21"/>
                <w:szCs w:val="21"/>
              </w:rPr>
              <w:object>
                <v:shape id="_x0000_i1074" o:spt="75" type="#_x0000_t75" style="height:18pt;width:11pt;" o:ole="t" filled="f" o:preferrelative="t" stroked="f" coordsize="21600,21600">
                  <v:path/>
                  <v:fill on="f" focussize="0,0"/>
                  <v:stroke on="f" joinstyle="miter"/>
                  <v:imagedata r:id="rId111" o:title=""/>
                  <o:lock v:ext="edit" aspectratio="t"/>
                  <w10:wrap type="none"/>
                  <w10:anchorlock/>
                </v:shape>
                <o:OLEObject Type="Embed" ProgID="Equation.3" ShapeID="_x0000_i1074" DrawAspect="Content" ObjectID="_1468075775" r:id="rId110">
                  <o:LockedField>false</o:LockedField>
                </o:OLEObject>
              </w:object>
            </w:r>
          </w:p>
        </w:tc>
        <w:tc>
          <w:tcPr>
            <w:tcW w:w="103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不确定度分量</w:t>
            </w:r>
          </w:p>
        </w:tc>
        <w:tc>
          <w:tcPr>
            <w:tcW w:w="62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object>
                <v:shape id="_x0000_i1075" o:spt="75" type="#_x0000_t75" style="height:20pt;width:16pt;" o:ole="t" filled="f" o:preferrelative="t" stroked="f" coordsize="21600,21600">
                  <v:path/>
                  <v:fill on="f" focussize="0,0"/>
                  <v:stroke on="f" joinstyle="miter"/>
                  <v:imagedata r:id="rId113" embosscolor="#FFFFFF" o:title=""/>
                  <o:lock v:ext="edit" aspectratio="t"/>
                  <w10:wrap type="none"/>
                  <w10:anchorlock/>
                </v:shape>
                <o:OLEObject Type="Embed" ProgID="Equation.3" ShapeID="_x0000_i1075" DrawAspect="Content" ObjectID="_1468075776" r:id="rId112">
                  <o:LockedField>false</o:LockedField>
                </o:OLEObject>
              </w:objec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object>
                <v:shape id="_x0000_i1076" o:spt="75" type="#_x0000_t75" style="height:18.1pt;width:17.1pt;" o:ole="t" filled="f" o:preferrelative="t" stroked="f" coordsize="21600,21600">
                  <v:path/>
                  <v:fill on="f" focussize="0,0"/>
                  <v:stroke on="f" joinstyle="miter"/>
                  <v:imagedata r:id="rId115" embosscolor="#FFFFFF" o:title=""/>
                  <o:lock v:ext="edit" aspectratio="t"/>
                  <w10:wrap type="none"/>
                  <w10:anchorlock/>
                </v:shape>
                <o:OLEObject Type="Embed" ProgID="Equation.3" ShapeID="_x0000_i1076" DrawAspect="Content" ObjectID="_1468075777" r:id="rId114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232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纯水表观质量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引入的标准不确定度</w:t>
            </w:r>
            <w:r>
              <w:rPr>
                <w:rFonts w:hint="eastAsia" w:asciiTheme="minorEastAsia" w:hAnsiTheme="minorEastAsia" w:eastAsiaTheme="minorEastAsia" w:cstheme="minorEastAsia"/>
                <w:position w:val="0"/>
                <w:sz w:val="21"/>
                <w:szCs w:val="21"/>
              </w:rPr>
              <w:object>
                <v:shape id="_x0000_i1077" o:spt="75" type="#_x0000_t75" style="height:16pt;width:27pt;" o:ole="t" filled="f" o:preferrelative="t" stroked="f" coordsize="21600,21600">
                  <v:path/>
                  <v:fill on="f" focussize="0,0"/>
                  <v:stroke on="f"/>
                  <v:imagedata r:id="rId117" o:title=""/>
                  <o:lock v:ext="edit" aspectratio="t"/>
                  <w10:wrap type="none"/>
                  <w10:anchorlock/>
                </v:shape>
                <o:OLEObject Type="Embed" ProgID="Equation.3" ShapeID="_x0000_i1077" DrawAspect="Content" ObjectID="_1468075778" r:id="rId116">
                  <o:LockedField>false</o:LockedField>
                </o:OLEObject>
              </w:object>
            </w:r>
          </w:p>
        </w:tc>
        <w:tc>
          <w:tcPr>
            <w:tcW w:w="102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napToGrid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i/>
                <w:iCs/>
                <w:snapToGrid w:val="0"/>
                <w:position w:val="0"/>
                <w:sz w:val="21"/>
                <w:szCs w:val="21"/>
                <w:lang w:val="en-US" w:eastAsia="zh-CN"/>
              </w:rPr>
              <w:t>c</w:t>
            </w:r>
            <w:r>
              <w:rPr>
                <w:rFonts w:hint="default" w:ascii="Times New Roman" w:hAnsi="Times New Roman" w:cs="Times New Roman" w:eastAsiaTheme="minorEastAsia"/>
                <w:snapToGrid w:val="0"/>
                <w:position w:val="0"/>
                <w:sz w:val="21"/>
                <w:szCs w:val="21"/>
                <w:vertAlign w:val="subscript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napToGrid w:val="0"/>
                <w:position w:val="0"/>
                <w:sz w:val="21"/>
                <w:szCs w:val="21"/>
                <w:lang w:val="en-US" w:eastAsia="zh-CN"/>
              </w:rPr>
              <w:t>=</w:t>
            </w:r>
            <w:r>
              <w:rPr>
                <w:rFonts w:hint="eastAsia" w:asciiTheme="minorEastAsia" w:hAnsiTheme="minorEastAsia" w:eastAsiaTheme="minorEastAsia" w:cstheme="minorEastAsia"/>
                <w:snapToGrid w:val="0"/>
                <w:position w:val="0"/>
                <w:sz w:val="21"/>
                <w:szCs w:val="21"/>
              </w:rPr>
              <w:t>1.00289</w:t>
            </w:r>
            <w:r>
              <w:rPr>
                <w:rFonts w:hint="eastAsia" w:asciiTheme="minorEastAsia" w:hAnsiTheme="minorEastAsia" w:eastAsiaTheme="minorEastAsia" w:cstheme="minorEastAsia"/>
                <w:snapToGrid w:val="0"/>
                <w:positio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napToGrid w:val="0"/>
                <w:position w:val="0"/>
                <w:sz w:val="21"/>
                <w:szCs w:val="21"/>
              </w:rPr>
              <w:t>cm</w:t>
            </w:r>
            <w:r>
              <w:rPr>
                <w:rFonts w:hint="eastAsia" w:asciiTheme="minorEastAsia" w:hAnsiTheme="minorEastAsia" w:eastAsiaTheme="minorEastAsia" w:cstheme="minorEastAsia"/>
                <w:snapToGrid w:val="0"/>
                <w:position w:val="0"/>
                <w:sz w:val="21"/>
                <w:szCs w:val="21"/>
                <w:vertAlign w:val="superscript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snapToGrid w:val="0"/>
                <w:position w:val="0"/>
                <w:sz w:val="21"/>
                <w:szCs w:val="21"/>
              </w:rPr>
              <w:t>/g</w:t>
            </w:r>
          </w:p>
        </w:tc>
        <w:tc>
          <w:tcPr>
            <w:tcW w:w="103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position w:val="-1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position w:val="0"/>
                <w:sz w:val="21"/>
                <w:szCs w:val="21"/>
              </w:rPr>
              <w:object>
                <v:shape id="_x0000_i1078" o:spt="75" type="#_x0000_t75" style="height:16pt;width:27pt;" o:ole="t" filled="f" o:preferrelative="t" stroked="f" coordsize="21600,21600">
                  <v:path/>
                  <v:fill on="f" focussize="0,0"/>
                  <v:stroke on="f" joinstyle="miter"/>
                  <v:imagedata r:id="rId119" o:title=""/>
                  <o:lock v:ext="edit" aspectratio="t"/>
                  <w10:wrap type="none"/>
                  <w10:anchorlock/>
                </v:shape>
                <o:OLEObject Type="Embed" ProgID="Equation.3" ShapeID="_x0000_i1078" DrawAspect="Content" ObjectID="_1468075779" r:id="rId118">
                  <o:LockedField>false</o:LockedField>
                </o:OLEObject>
              </w:objec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=0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.411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mg</w:t>
            </w:r>
          </w:p>
        </w:tc>
        <w:tc>
          <w:tcPr>
            <w:tcW w:w="62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0.412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0" w:hRule="atLeast"/>
          <w:jc w:val="center"/>
        </w:trPr>
        <w:tc>
          <w:tcPr>
            <w:tcW w:w="232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测量重复性引入的标准不确定度</w:t>
            </w:r>
            <w:r>
              <w:rPr>
                <w:rFonts w:hint="eastAsia" w:asciiTheme="minorEastAsia" w:hAnsiTheme="minorEastAsia" w:eastAsiaTheme="minorEastAsia" w:cstheme="minorEastAsia"/>
                <w:position w:val="0"/>
                <w:sz w:val="21"/>
                <w:szCs w:val="21"/>
              </w:rPr>
              <w:object>
                <v:shape id="_x0000_i1079" o:spt="75" type="#_x0000_t75" style="height:17pt;width:31pt;" o:ole="t" filled="f" o:preferrelative="t" stroked="f" coordsize="21600,21600">
                  <v:path/>
                  <v:fill on="f" focussize="0,0"/>
                  <v:stroke on="f" joinstyle="miter"/>
                  <v:imagedata r:id="rId121" o:title=""/>
                  <o:lock v:ext="edit" aspectratio="t"/>
                  <w10:wrap type="none"/>
                  <w10:anchorlock/>
                </v:shape>
                <o:OLEObject Type="Embed" ProgID="Equation.3" ShapeID="_x0000_i1079" DrawAspect="Content" ObjectID="_1468075780" r:id="rId120">
                  <o:LockedField>false</o:LockedField>
                </o:OLEObject>
              </w:object>
            </w:r>
          </w:p>
        </w:tc>
        <w:tc>
          <w:tcPr>
            <w:tcW w:w="102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napToGrid w:val="0"/>
                <w:sz w:val="21"/>
                <w:szCs w:val="21"/>
              </w:rPr>
            </w:pPr>
            <w:r>
              <w:rPr>
                <w:bCs/>
                <w:sz w:val="24"/>
              </w:rPr>
              <w:t>——</w:t>
            </w:r>
          </w:p>
        </w:tc>
        <w:tc>
          <w:tcPr>
            <w:tcW w:w="103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position w:val="-14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position w:val="0"/>
                <w:sz w:val="21"/>
                <w:szCs w:val="21"/>
              </w:rPr>
              <w:object>
                <v:shape id="_x0000_i1080" o:spt="75" type="#_x0000_t75" style="height:18pt;width:30.05pt;" o:ole="t" filled="f" o:preferrelative="t" stroked="f" coordsize="21600,21600">
                  <v:path/>
                  <v:fill on="f" focussize="0,0"/>
                  <v:stroke on="f"/>
                  <v:imagedata r:id="rId123" o:title=""/>
                  <o:lock v:ext="edit" aspectratio="t"/>
                  <w10:wrap type="none"/>
                  <w10:anchorlock/>
                </v:shape>
                <o:OLEObject Type="Embed" ProgID="Equation.3" ShapeID="_x0000_i1080" DrawAspect="Content" ObjectID="_1468075781" r:id="rId122">
                  <o:LockedField>false</o:LockedField>
                </o:OLEObject>
              </w:objec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=0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.410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mg</w:t>
            </w:r>
          </w:p>
        </w:tc>
        <w:tc>
          <w:tcPr>
            <w:tcW w:w="62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position w:val="-14"/>
                <w:sz w:val="21"/>
                <w:szCs w:val="21"/>
              </w:rPr>
            </w:pPr>
            <w:r>
              <w:rPr>
                <w:bCs/>
                <w:sz w:val="24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232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电子天平引入的标准不确定度</w:t>
            </w:r>
            <w:r>
              <w:rPr>
                <w:rFonts w:hint="eastAsia" w:asciiTheme="minorEastAsia" w:hAnsiTheme="minorEastAsia" w:eastAsiaTheme="minorEastAsia" w:cstheme="minorEastAsia"/>
                <w:position w:val="0"/>
                <w:sz w:val="21"/>
                <w:szCs w:val="21"/>
              </w:rPr>
              <w:object>
                <v:shape id="_x0000_i1081" o:spt="75" type="#_x0000_t75" style="height:17pt;width:33pt;" o:ole="t" filled="f" o:preferrelative="t" stroked="f" coordsize="21600,21600">
                  <v:path/>
                  <v:fill on="f" focussize="0,0"/>
                  <v:stroke on="f" joinstyle="miter"/>
                  <v:imagedata r:id="rId125" o:title=""/>
                  <o:lock v:ext="edit" aspectratio="t"/>
                  <w10:wrap type="none"/>
                  <w10:anchorlock/>
                </v:shape>
                <o:OLEObject Type="Embed" ProgID="Equation.3" ShapeID="_x0000_i1081" DrawAspect="Content" ObjectID="_1468075782" r:id="rId124">
                  <o:LockedField>false</o:LockedField>
                </o:OLEObject>
              </w:object>
            </w:r>
          </w:p>
        </w:tc>
        <w:tc>
          <w:tcPr>
            <w:tcW w:w="102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napToGrid w:val="0"/>
                <w:sz w:val="21"/>
                <w:szCs w:val="21"/>
              </w:rPr>
            </w:pPr>
            <w:r>
              <w:rPr>
                <w:bCs/>
                <w:sz w:val="24"/>
              </w:rPr>
              <w:t>——</w:t>
            </w:r>
          </w:p>
        </w:tc>
        <w:tc>
          <w:tcPr>
            <w:tcW w:w="103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position w:val="-14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position w:val="0"/>
                <w:sz w:val="21"/>
                <w:szCs w:val="21"/>
              </w:rPr>
              <w:object>
                <v:shape id="_x0000_i1082" o:spt="75" type="#_x0000_t75" style="height:17pt;width:33pt;" o:ole="t" filled="f" o:preferrelative="t" stroked="f" coordsize="21600,21600">
                  <v:path/>
                  <v:fill on="f" focussize="0,0"/>
                  <v:stroke on="f" joinstyle="miter"/>
                  <v:imagedata r:id="rId125" o:title=""/>
                  <o:lock v:ext="edit" aspectratio="t"/>
                  <w10:wrap type="none"/>
                  <w10:anchorlock/>
                </v:shape>
                <o:OLEObject Type="Embed" ProgID="Equation.3" ShapeID="_x0000_i1082" DrawAspect="Content" ObjectID="_1468075783" r:id="rId126">
                  <o:LockedField>false</o:LockedField>
                </o:OLEObject>
              </w:objec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=0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.029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mg</w:t>
            </w:r>
          </w:p>
        </w:tc>
        <w:tc>
          <w:tcPr>
            <w:tcW w:w="62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position w:val="-14"/>
                <w:sz w:val="21"/>
                <w:szCs w:val="21"/>
              </w:rPr>
            </w:pPr>
            <w:r>
              <w:rPr>
                <w:bCs/>
                <w:sz w:val="24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  <w:jc w:val="center"/>
        </w:trPr>
        <w:tc>
          <w:tcPr>
            <w:tcW w:w="232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aps w:val="0"/>
                <w:color w:val="auto"/>
                <w:spacing w:val="0"/>
                <w:position w:val="0"/>
                <w:sz w:val="21"/>
                <w:szCs w:val="21"/>
              </w:rPr>
              <w:object>
                <v:shape id="_x0000_i1083" o:spt="75" type="#_x0000_t75" style="height:17pt;width:24pt;" o:ole="t" filled="f" o:preferrelative="t" stroked="f" coordsize="21600,21600">
                  <v:path/>
                  <v:fill on="f" focussize="0,0"/>
                  <v:stroke on="f" joinstyle="miter"/>
                  <v:imagedata r:id="rId90" o:title=""/>
                  <o:lock v:ext="edit" aspectratio="t"/>
                  <w10:wrap type="none"/>
                  <w10:anchorlock/>
                </v:shape>
                <o:OLEObject Type="Embed" ProgID="Equation.3" ShapeID="_x0000_i1083" DrawAspect="Content" ObjectID="_1468075784" r:id="rId127">
                  <o:LockedField>false</o:LockedField>
                </o:OLEObject>
              </w:object>
            </w:r>
            <w:r>
              <w:rPr>
                <w:rFonts w:hint="eastAsia" w:ascii="宋体" w:hAnsi="宋体" w:eastAsia="宋体" w:cs="宋体"/>
                <w:caps w:val="0"/>
                <w:color w:val="auto"/>
                <w:spacing w:val="0"/>
                <w:position w:val="0"/>
                <w:sz w:val="21"/>
                <w:szCs w:val="21"/>
              </w:rPr>
              <w:t>值引入的标准不确定度</w:t>
            </w:r>
            <w:r>
              <w:rPr>
                <w:rFonts w:hint="eastAsia" w:ascii="宋体" w:hAnsi="宋体" w:eastAsia="宋体" w:cs="宋体"/>
                <w:caps w:val="0"/>
                <w:color w:val="auto"/>
                <w:spacing w:val="0"/>
                <w:position w:val="0"/>
                <w:sz w:val="21"/>
                <w:szCs w:val="21"/>
              </w:rPr>
              <w:object>
                <v:shape id="_x0000_i1084" o:spt="75" type="#_x0000_t75" style="height:17pt;width:37pt;" o:ole="t" filled="f" o:preferrelative="t" stroked="f" coordsize="21600,21600">
                  <v:path/>
                  <v:fill on="f" focussize="0,0"/>
                  <v:stroke on="f" joinstyle="miter"/>
                  <v:imagedata r:id="rId62" o:title=""/>
                  <o:lock v:ext="edit" aspectratio="t"/>
                  <w10:wrap type="none"/>
                  <w10:anchorlock/>
                </v:shape>
                <o:OLEObject Type="Embed" ProgID="Equation.3" ShapeID="_x0000_i1084" DrawAspect="Content" ObjectID="_1468075785" r:id="rId128">
                  <o:LockedField>false</o:LockedField>
                </o:OLEObject>
              </w:object>
            </w:r>
          </w:p>
        </w:tc>
        <w:tc>
          <w:tcPr>
            <w:tcW w:w="102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napToGrid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 w:eastAsiaTheme="minorEastAsia"/>
                <w:i/>
                <w:iCs/>
                <w:snapToGrid w:val="0"/>
                <w:position w:val="0"/>
                <w:sz w:val="21"/>
                <w:szCs w:val="21"/>
                <w:lang w:val="en-US" w:eastAsia="zh-CN"/>
              </w:rPr>
              <w:t>c</w:t>
            </w:r>
            <w:r>
              <w:rPr>
                <w:rFonts w:hint="default" w:ascii="Times New Roman" w:hAnsi="Times New Roman" w:cs="Times New Roman" w:eastAsiaTheme="minorEastAsia"/>
                <w:i/>
                <w:iCs/>
                <w:snapToGrid w:val="0"/>
                <w:position w:val="0"/>
                <w:sz w:val="21"/>
                <w:szCs w:val="21"/>
                <w:vertAlign w:val="subscript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napToGrid w:val="0"/>
                <w:position w:val="0"/>
                <w:sz w:val="21"/>
                <w:szCs w:val="21"/>
                <w:lang w:val="en-US" w:eastAsia="zh-CN"/>
              </w:rPr>
              <w:t>=</w:t>
            </w:r>
            <w:r>
              <w:rPr>
                <w:rFonts w:hint="eastAsia" w:asciiTheme="minorEastAsia" w:hAnsiTheme="minorEastAsia" w:eastAsiaTheme="minorEastAsia" w:cstheme="minorEastAsia"/>
                <w:snapToGrid w:val="0"/>
                <w:sz w:val="21"/>
                <w:szCs w:val="21"/>
              </w:rPr>
              <w:t>197.08</w:t>
            </w:r>
            <w:r>
              <w:rPr>
                <w:rFonts w:hint="eastAsia" w:asciiTheme="minorEastAsia" w:hAnsiTheme="minorEastAsia" w:eastAsiaTheme="minorEastAsia" w:cstheme="minorEastAsia"/>
                <w:snapToGrid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napToGrid w:val="0"/>
                <w:sz w:val="21"/>
                <w:szCs w:val="21"/>
              </w:rPr>
              <w:t>mg</w:t>
            </w:r>
          </w:p>
        </w:tc>
        <w:tc>
          <w:tcPr>
            <w:tcW w:w="103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cs="宋体"/>
                <w:caps w:val="0"/>
                <w:color w:val="auto"/>
                <w:spacing w:val="0"/>
                <w:positio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aps w:val="0"/>
                <w:color w:val="auto"/>
                <w:spacing w:val="0"/>
                <w:position w:val="0"/>
                <w:sz w:val="21"/>
                <w:szCs w:val="21"/>
              </w:rPr>
              <w:object>
                <v:shape id="_x0000_i1085" o:spt="75" type="#_x0000_t75" style="height:17pt;width:37pt;" o:ole="t" filled="f" o:preferrelative="t" stroked="f" coordsize="21600,21600">
                  <v:path/>
                  <v:fill on="f" focussize="0,0"/>
                  <v:stroke on="f" joinstyle="miter"/>
                  <v:imagedata r:id="rId62" o:title=""/>
                  <o:lock v:ext="edit" aspectratio="t"/>
                  <w10:wrap type="none"/>
                  <w10:anchorlock/>
                </v:shape>
                <o:OLEObject Type="Embed" ProgID="Equation.3" ShapeID="_x0000_i1085" DrawAspect="Content" ObjectID="_1468075786" r:id="rId129">
                  <o:LockedField>false</o:LockedField>
                </o:OLEObject>
              </w:object>
            </w:r>
            <w:r>
              <w:rPr>
                <w:rFonts w:hint="eastAsia" w:ascii="宋体" w:hAnsi="宋体" w:cs="宋体"/>
                <w:caps w:val="0"/>
                <w:color w:val="auto"/>
                <w:spacing w:val="0"/>
                <w:position w:val="0"/>
                <w:sz w:val="21"/>
                <w:szCs w:val="21"/>
                <w:lang w:val="en-US" w:eastAsia="zh-CN"/>
              </w:rPr>
              <w:t>=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0.00032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cm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superscript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/g</w:t>
            </w:r>
          </w:p>
        </w:tc>
        <w:tc>
          <w:tcPr>
            <w:tcW w:w="62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0.06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3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  <w:jc w:val="center"/>
        </w:trPr>
        <w:tc>
          <w:tcPr>
            <w:tcW w:w="232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温度计读数引入的标准不确定度</w:t>
            </w:r>
            <w:r>
              <w:rPr>
                <w:rFonts w:hint="eastAsia" w:asciiTheme="minorEastAsia" w:hAnsiTheme="minorEastAsia" w:eastAsiaTheme="minorEastAsia" w:cstheme="minorEastAsia"/>
                <w:position w:val="0"/>
                <w:sz w:val="21"/>
                <w:szCs w:val="21"/>
              </w:rPr>
              <w:object>
                <v:shape id="_x0000_i1086" o:spt="75" type="#_x0000_t75" style="height:18pt;width:41pt;" o:ole="t" filled="f" o:preferrelative="t" stroked="f" coordsize="21600,21600">
                  <v:path/>
                  <v:fill on="f" focussize="0,0"/>
                  <v:stroke on="f" joinstyle="miter"/>
                  <v:imagedata r:id="rId97" o:title=""/>
                  <o:lock v:ext="edit" aspectratio="t"/>
                  <w10:wrap type="none"/>
                  <w10:anchorlock/>
                </v:shape>
                <o:OLEObject Type="Embed" ProgID="Equation.3" ShapeID="_x0000_i1086" DrawAspect="Content" ObjectID="_1468075787" r:id="rId130">
                  <o:LockedField>false</o:LockedField>
                </o:OLEObject>
              </w:object>
            </w:r>
          </w:p>
        </w:tc>
        <w:tc>
          <w:tcPr>
            <w:tcW w:w="102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napToGrid w:val="0"/>
                <w:sz w:val="21"/>
                <w:szCs w:val="21"/>
              </w:rPr>
            </w:pPr>
            <w:r>
              <w:rPr>
                <w:bCs/>
                <w:sz w:val="24"/>
              </w:rPr>
              <w:t>——</w:t>
            </w:r>
          </w:p>
        </w:tc>
        <w:tc>
          <w:tcPr>
            <w:tcW w:w="103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positio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position w:val="0"/>
                <w:sz w:val="21"/>
                <w:szCs w:val="21"/>
              </w:rPr>
              <w:object>
                <v:shape id="_x0000_i1087" o:spt="75" type="#_x0000_t75" style="height:18pt;width:41pt;" o:ole="t" filled="f" o:preferrelative="t" stroked="f" coordsize="21600,21600">
                  <v:path/>
                  <v:fill on="f" focussize="0,0"/>
                  <v:stroke on="f" joinstyle="miter"/>
                  <v:imagedata r:id="rId97" o:title=""/>
                  <o:lock v:ext="edit" aspectratio="t"/>
                  <w10:wrap type="none"/>
                  <w10:anchorlock/>
                </v:shape>
                <o:OLEObject Type="Embed" ProgID="Equation.3" ShapeID="_x0000_i1087" DrawAspect="Content" ObjectID="_1468075788" r:id="rId131">
                  <o:LockedField>false</o:LockedField>
                </o:OLEObject>
              </w:object>
            </w:r>
            <w:r>
              <w:rPr>
                <w:rFonts w:hint="eastAsia" w:asciiTheme="minorEastAsia" w:hAnsiTheme="minorEastAsia" w:eastAsiaTheme="minorEastAsia" w:cstheme="minorEastAsia"/>
                <w:position w:val="0"/>
                <w:sz w:val="21"/>
                <w:szCs w:val="21"/>
                <w:lang w:val="en-US" w:eastAsia="zh-CN"/>
              </w:rPr>
              <w:t>=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position w:val="-6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0.00014 cm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superscript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/g</w:t>
            </w:r>
          </w:p>
        </w:tc>
        <w:tc>
          <w:tcPr>
            <w:tcW w:w="62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position w:val="-6"/>
                <w:sz w:val="21"/>
                <w:szCs w:val="21"/>
              </w:rPr>
            </w:pPr>
            <w:r>
              <w:rPr>
                <w:bCs/>
                <w:sz w:val="24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232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纯水的温差变化引入的标准不确定度</w:t>
            </w:r>
            <w:r>
              <w:rPr>
                <w:rFonts w:hint="eastAsia" w:asciiTheme="minorEastAsia" w:hAnsiTheme="minorEastAsia" w:eastAsiaTheme="minorEastAsia" w:cstheme="minorEastAsia"/>
                <w:position w:val="0"/>
                <w:sz w:val="21"/>
                <w:szCs w:val="21"/>
              </w:rPr>
              <w:object>
                <v:shape id="_x0000_i1088" o:spt="75" type="#_x0000_t75" style="height:18pt;width:42.95pt;" o:ole="t" filled="f" o:preferrelative="t" stroked="f" coordsize="21600,21600">
                  <v:path/>
                  <v:fill on="f" focussize="0,0"/>
                  <v:stroke on="f" joinstyle="miter"/>
                  <v:imagedata r:id="rId103" o:title=""/>
                  <o:lock v:ext="edit" aspectratio="t"/>
                  <w10:wrap type="none"/>
                  <w10:anchorlock/>
                </v:shape>
                <o:OLEObject Type="Embed" ProgID="Equation.3" ShapeID="_x0000_i1088" DrawAspect="Content" ObjectID="_1468075789" r:id="rId132">
                  <o:LockedField>false</o:LockedField>
                </o:OLEObject>
              </w:object>
            </w:r>
          </w:p>
        </w:tc>
        <w:tc>
          <w:tcPr>
            <w:tcW w:w="102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napToGrid w:val="0"/>
                <w:sz w:val="21"/>
                <w:szCs w:val="21"/>
              </w:rPr>
            </w:pPr>
            <w:r>
              <w:rPr>
                <w:bCs/>
                <w:sz w:val="24"/>
              </w:rPr>
              <w:t>——</w:t>
            </w:r>
          </w:p>
        </w:tc>
        <w:tc>
          <w:tcPr>
            <w:tcW w:w="103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positio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position w:val="0"/>
                <w:sz w:val="21"/>
                <w:szCs w:val="21"/>
              </w:rPr>
              <w:object>
                <v:shape id="_x0000_i1089" o:spt="75" type="#_x0000_t75" style="height:18pt;width:42.95pt;" o:ole="t" filled="f" o:preferrelative="t" stroked="f" coordsize="21600,21600">
                  <v:path/>
                  <v:fill on="f" focussize="0,0"/>
                  <v:stroke on="f" joinstyle="miter"/>
                  <v:imagedata r:id="rId103" o:title=""/>
                  <o:lock v:ext="edit" aspectratio="t"/>
                  <w10:wrap type="none"/>
                  <w10:anchorlock/>
                </v:shape>
                <o:OLEObject Type="Embed" ProgID="Equation.3" ShapeID="_x0000_i1089" DrawAspect="Content" ObjectID="_1468075790" r:id="rId133">
                  <o:LockedField>false</o:LockedField>
                </o:OLEObject>
              </w:object>
            </w:r>
            <w:r>
              <w:rPr>
                <w:rFonts w:hint="eastAsia" w:asciiTheme="minorEastAsia" w:hAnsiTheme="minorEastAsia" w:eastAsiaTheme="minorEastAsia" w:cstheme="minorEastAsia"/>
                <w:position w:val="0"/>
                <w:sz w:val="21"/>
                <w:szCs w:val="21"/>
                <w:lang w:val="en-US" w:eastAsia="zh-CN"/>
              </w:rPr>
              <w:t>=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position w:val="-6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0.0002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 cm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superscript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/g</w:t>
            </w:r>
          </w:p>
        </w:tc>
        <w:tc>
          <w:tcPr>
            <w:tcW w:w="62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position w:val="-6"/>
                <w:sz w:val="21"/>
                <w:szCs w:val="21"/>
              </w:rPr>
            </w:pPr>
            <w:r>
              <w:rPr>
                <w:bCs/>
                <w:sz w:val="24"/>
              </w:rPr>
              <w:t>——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center"/>
        <w:rPr>
          <w:rFonts w:hint="eastAsia" w:ascii="黑体" w:hAnsi="黑体" w:eastAsia="黑体" w:cs="黑体"/>
          <w:caps w:val="0"/>
          <w:color w:val="auto"/>
          <w:spacing w:val="0"/>
          <w:position w:val="0"/>
          <w:sz w:val="24"/>
        </w:rPr>
      </w:pPr>
      <w:r>
        <w:rPr>
          <w:rFonts w:hint="eastAsia" w:ascii="黑体" w:hAnsi="黑体" w:eastAsia="黑体" w:cs="黑体"/>
          <w:caps w:val="0"/>
          <w:color w:val="auto"/>
          <w:spacing w:val="0"/>
          <w:position w:val="0"/>
          <w:sz w:val="24"/>
        </w:rPr>
        <w:t xml:space="preserve">C.6 </w:t>
      </w:r>
      <w:r>
        <w:rPr>
          <w:rFonts w:hint="eastAsia" w:ascii="黑体" w:hAnsi="黑体" w:eastAsia="黑体" w:cs="黑体"/>
          <w:caps w:val="0"/>
          <w:color w:val="auto"/>
          <w:spacing w:val="0"/>
          <w:position w:val="0"/>
          <w:sz w:val="24"/>
          <w:lang w:val="en-US" w:eastAsia="zh-CN"/>
        </w:rPr>
        <w:t xml:space="preserve"> </w:t>
      </w:r>
      <w:r>
        <w:rPr>
          <w:rFonts w:hint="eastAsia" w:ascii="黑体" w:hAnsi="黑体" w:eastAsia="黑体" w:cs="黑体"/>
          <w:caps w:val="0"/>
          <w:color w:val="auto"/>
          <w:spacing w:val="0"/>
          <w:position w:val="0"/>
          <w:sz w:val="24"/>
        </w:rPr>
        <w:t>合成标准不确定度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输入量</w:t>
      </w:r>
      <w:r>
        <w:rPr>
          <w:rFonts w:hint="default" w:ascii="Times New Roman" w:hAnsi="Times New Roman" w:eastAsia="宋体" w:cs="Times New Roman"/>
          <w:i/>
          <w:iCs/>
          <w:caps w:val="0"/>
          <w:color w:val="auto"/>
          <w:spacing w:val="0"/>
          <w:position w:val="0"/>
          <w:sz w:val="24"/>
        </w:rPr>
        <w:t>m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与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object>
          <v:shape id="_x0000_i1090" o:spt="75" type="#_x0000_t75" style="height:17pt;width:24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3" ShapeID="_x0000_i1090" DrawAspect="Content" ObjectID="_1468075791" r:id="rId134">
            <o:LockedField>false</o:LockedField>
          </o:OLEObject>
        </w:objec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彼此独立，</w:t>
      </w:r>
      <w:r>
        <w:rPr>
          <w:rFonts w:hint="eastAsia" w:ascii="宋体" w:hAnsi="宋体" w:cs="宋体"/>
          <w:caps w:val="0"/>
          <w:color w:val="auto"/>
          <w:spacing w:val="0"/>
          <w:position w:val="0"/>
          <w:sz w:val="24"/>
          <w:lang w:val="en-US" w:eastAsia="zh-CN"/>
        </w:rPr>
        <w:t>故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合成标准不确定度：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object>
          <v:shape id="_x0000_i1091" o:spt="75" type="#_x0000_t75" style="height:26pt;width:215.35pt;" o:ole="t" filled="f" o:preferrelative="t" stroked="f" coordsize="21600,21600">
            <v:path/>
            <v:fill on="f" focussize="0,0"/>
            <v:stroke on="f"/>
            <v:imagedata r:id="rId137" o:title=""/>
            <o:lock v:ext="edit" aspectratio="t"/>
            <w10:wrap type="none"/>
            <w10:anchorlock/>
          </v:shape>
          <o:OLEObject Type="Embed" ProgID="Equation.3" ShapeID="_x0000_i1091" DrawAspect="Content" ObjectID="_1468075792" r:id="rId13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center"/>
        <w:rPr>
          <w:rFonts w:hint="eastAsia" w:ascii="黑体" w:hAnsi="黑体" w:eastAsia="黑体" w:cs="黑体"/>
          <w:caps w:val="0"/>
          <w:color w:val="auto"/>
          <w:spacing w:val="0"/>
          <w:position w:val="0"/>
          <w:sz w:val="24"/>
        </w:rPr>
      </w:pPr>
      <w:r>
        <w:rPr>
          <w:rFonts w:hint="eastAsia" w:ascii="黑体" w:hAnsi="黑体" w:eastAsia="黑体" w:cs="黑体"/>
          <w:caps w:val="0"/>
          <w:color w:val="auto"/>
          <w:spacing w:val="0"/>
          <w:position w:val="0"/>
          <w:sz w:val="24"/>
        </w:rPr>
        <w:t xml:space="preserve">C.7 </w:t>
      </w:r>
      <w:r>
        <w:rPr>
          <w:rFonts w:hint="eastAsia" w:ascii="黑体" w:hAnsi="黑体" w:eastAsia="黑体" w:cs="黑体"/>
          <w:caps w:val="0"/>
          <w:color w:val="auto"/>
          <w:spacing w:val="0"/>
          <w:position w:val="0"/>
          <w:sz w:val="24"/>
          <w:lang w:val="en-US" w:eastAsia="zh-CN"/>
        </w:rPr>
        <w:t xml:space="preserve"> </w:t>
      </w:r>
      <w:r>
        <w:rPr>
          <w:rFonts w:hint="eastAsia" w:ascii="黑体" w:hAnsi="黑体" w:eastAsia="黑体" w:cs="黑体"/>
          <w:caps w:val="0"/>
          <w:color w:val="auto"/>
          <w:spacing w:val="0"/>
          <w:position w:val="0"/>
          <w:sz w:val="24"/>
        </w:rPr>
        <w:t>扩展不确定度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取包含因子</w:t>
      </w:r>
      <w:r>
        <w:rPr>
          <w:rFonts w:hint="eastAsia" w:asciiTheme="majorEastAsia" w:hAnsiTheme="majorEastAsia" w:eastAsiaTheme="majorEastAsia" w:cstheme="majorEastAsia"/>
          <w:i/>
          <w:iCs/>
          <w:caps w:val="0"/>
          <w:color w:val="auto"/>
          <w:spacing w:val="0"/>
          <w:position w:val="0"/>
          <w:sz w:val="24"/>
        </w:rPr>
        <w:t>k</w:t>
      </w:r>
      <w:r>
        <w:rPr>
          <w:rFonts w:hint="eastAsia" w:asciiTheme="majorEastAsia" w:hAnsiTheme="majorEastAsia" w:eastAsiaTheme="majorEastAsia" w:cstheme="majorEastAsia"/>
          <w:caps w:val="0"/>
          <w:color w:val="auto"/>
          <w:spacing w:val="0"/>
          <w:position w:val="0"/>
          <w:sz w:val="24"/>
        </w:rPr>
        <w:t>=2</w:t>
      </w:r>
      <w:r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  <w:t>，则扩展不确定度为：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center"/>
        <w:rPr>
          <w:rFonts w:hint="eastAsia" w:ascii="宋体" w:hAnsi="宋体" w:eastAsia="宋体" w:cs="宋体"/>
          <w:caps w:val="0"/>
          <w:color w:val="auto"/>
          <w:spacing w:val="0"/>
          <w:position w:val="0"/>
          <w:sz w:val="24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position w:val="-12"/>
          <w:sz w:val="24"/>
        </w:rPr>
        <w:object>
          <v:shape id="_x0000_i1092" o:spt="75" type="#_x0000_t75" style="height:18pt;width:148pt;" o:ole="t" filled="f" o:preferrelative="t" stroked="f" coordsize="21600,21600">
            <v:path/>
            <v:fill on="f" focussize="0,0"/>
            <v:stroke on="f"/>
            <v:imagedata r:id="rId139" o:title=""/>
            <o:lock v:ext="edit" aspectratio="f"/>
            <w10:wrap type="none"/>
            <w10:anchorlock/>
          </v:shape>
          <o:OLEObject Type="Embed" ProgID="Equation.DSMT4" ShapeID="_x0000_i1092" DrawAspect="Content" ObjectID="_1468075793" r:id="rId138">
            <o:LockedField>false</o:LockedField>
          </o:OLEObject>
        </w:object>
      </w:r>
    </w:p>
    <w:p>
      <w:pPr>
        <w:spacing w:line="360" w:lineRule="auto"/>
        <w:ind w:firstLine="480" w:firstLineChars="200"/>
        <w:textAlignment w:val="center"/>
        <w:rPr>
          <w:rFonts w:hint="eastAsia"/>
          <w:bCs/>
          <w:sz w:val="24"/>
        </w:rPr>
      </w:pPr>
    </w:p>
    <w:p>
      <w:pPr>
        <w:spacing w:line="360" w:lineRule="auto"/>
        <w:ind w:firstLine="480" w:firstLineChars="200"/>
        <w:jc w:val="center"/>
        <w:rPr>
          <w:sz w:val="24"/>
        </w:rPr>
        <w:sectPr>
          <w:pgSz w:w="11906" w:h="16838"/>
          <w:pgMar w:top="1701" w:right="1417" w:bottom="1247" w:left="1417" w:header="851" w:footer="992" w:gutter="0"/>
          <w:cols w:space="720" w:num="1"/>
          <w:docGrid w:type="lines" w:linePitch="312" w:charSpace="0"/>
        </w:sectPr>
      </w:pPr>
    </w:p>
    <w:p>
      <w:pPr>
        <w:pStyle w:val="13"/>
        <w:pageBreakBefore w:val="0"/>
        <w:kinsoku/>
        <w:wordWrap/>
        <w:overflowPunct/>
        <w:topLinePunct w:val="0"/>
        <w:bidi w:val="0"/>
        <w:spacing w:line="360" w:lineRule="auto"/>
        <w:ind w:left="1680" w:right="11" w:hanging="1680" w:hangingChars="600"/>
        <w:jc w:val="left"/>
        <w:textAlignment w:val="center"/>
        <w:outlineLvl w:val="0"/>
        <w:rPr>
          <w:rFonts w:hint="default" w:ascii="Times New Roman" w:hAnsi="Times New Roman" w:eastAsia="黑体" w:cs="Times New Roman"/>
          <w:caps w:val="0"/>
          <w:color w:val="auto"/>
          <w:spacing w:val="0"/>
          <w:position w:val="0"/>
          <w:sz w:val="28"/>
          <w:szCs w:val="28"/>
        </w:rPr>
      </w:pPr>
      <w:bookmarkStart w:id="36" w:name="_Toc22422"/>
      <w:r>
        <w:rPr>
          <w:rFonts w:hint="default" w:ascii="Times New Roman" w:hAnsi="Times New Roman" w:eastAsia="黑体" w:cs="Times New Roman"/>
          <w:caps w:val="0"/>
          <w:color w:val="auto"/>
          <w:spacing w:val="0"/>
          <w:position w:val="0"/>
          <w:sz w:val="28"/>
          <w:szCs w:val="28"/>
        </w:rPr>
        <w:t>附录</w:t>
      </w:r>
      <w:r>
        <w:rPr>
          <w:rFonts w:hint="eastAsia" w:ascii="Times New Roman" w:hAnsi="Times New Roman" w:eastAsia="黑体" w:cs="Times New Roman"/>
          <w:caps w:val="0"/>
          <w:color w:val="auto"/>
          <w:spacing w:val="0"/>
          <w:position w:val="0"/>
          <w:sz w:val="28"/>
          <w:szCs w:val="28"/>
        </w:rPr>
        <w:t>D</w:t>
      </w:r>
      <w:bookmarkEnd w:id="36"/>
      <w:r>
        <w:rPr>
          <w:rFonts w:hint="eastAsia" w:ascii="Times New Roman" w:hAnsi="Times New Roman" w:eastAsia="黑体" w:cs="Times New Roman"/>
          <w:caps w:val="0"/>
          <w:color w:val="auto"/>
          <w:spacing w:val="0"/>
          <w:position w:val="0"/>
          <w:sz w:val="28"/>
          <w:szCs w:val="28"/>
        </w:rPr>
        <w:t xml:space="preserve"> </w:t>
      </w:r>
    </w:p>
    <w:p>
      <w:pPr>
        <w:spacing w:line="360" w:lineRule="auto"/>
        <w:jc w:val="center"/>
        <w:textAlignment w:val="center"/>
        <w:outlineLvl w:val="0"/>
        <w:rPr>
          <w:rFonts w:eastAsia="黑体"/>
          <w:sz w:val="28"/>
          <w:szCs w:val="28"/>
        </w:rPr>
      </w:pPr>
      <w:bookmarkStart w:id="37" w:name="_Toc2531"/>
      <w:r>
        <w:rPr>
          <w:rFonts w:hint="eastAsia" w:eastAsia="黑体"/>
          <w:sz w:val="28"/>
          <w:szCs w:val="28"/>
        </w:rPr>
        <w:t>纯水密度表</w:t>
      </w:r>
      <w:bookmarkEnd w:id="37"/>
    </w:p>
    <w:p>
      <w:pPr>
        <w:wordWrap w:val="0"/>
        <w:spacing w:line="360" w:lineRule="auto"/>
        <w:ind w:hanging="13"/>
        <w:jc w:val="right"/>
        <w:textAlignment w:val="center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（g/cm</w:t>
      </w:r>
      <w:r>
        <w:rPr>
          <w:rFonts w:hint="eastAsia" w:asciiTheme="minorEastAsia" w:hAnsiTheme="minorEastAsia" w:eastAsiaTheme="minorEastAsia" w:cstheme="minorEastAsia"/>
          <w:szCs w:val="21"/>
          <w:vertAlign w:val="superscript"/>
        </w:rPr>
        <w:t>3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）  </w:t>
      </w:r>
    </w:p>
    <w:tbl>
      <w:tblPr>
        <w:tblStyle w:val="23"/>
        <w:tblW w:w="499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5"/>
        <w:gridCol w:w="1281"/>
        <w:gridCol w:w="1281"/>
        <w:gridCol w:w="1281"/>
        <w:gridCol w:w="1281"/>
        <w:gridCol w:w="1281"/>
        <w:gridCol w:w="1281"/>
        <w:gridCol w:w="1281"/>
        <w:gridCol w:w="1281"/>
        <w:gridCol w:w="1281"/>
        <w:gridCol w:w="12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456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hint="eastAsia" w:asciiTheme="minorEastAsia" w:hAnsiTheme="minorEastAsia" w:eastAsiaTheme="minorEastAsia" w:cstheme="minorEastAsia"/>
                <w:b/>
                <w:bCs/>
                <w:i/>
                <w:iCs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/>
                <w:iCs/>
                <w:color w:val="000000"/>
                <w:kern w:val="0"/>
                <w:szCs w:val="21"/>
                <w:lang w:bidi="ar"/>
              </w:rPr>
              <w:t>t</w:t>
            </w:r>
            <w:r>
              <w:rPr>
                <w:rStyle w:val="43"/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lang w:bidi="ar"/>
              </w:rPr>
              <w:t>（℃）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Cs w:val="21"/>
                <w:lang w:bidi="ar"/>
              </w:rPr>
              <w:t>0.0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Cs w:val="21"/>
                <w:lang w:bidi="ar"/>
              </w:rPr>
              <w:t>0.1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Cs w:val="21"/>
                <w:lang w:bidi="ar"/>
              </w:rPr>
              <w:t>0.2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Cs w:val="21"/>
                <w:lang w:bidi="ar"/>
              </w:rPr>
              <w:t>0.3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Cs w:val="21"/>
                <w:lang w:bidi="ar"/>
              </w:rPr>
              <w:t>0.4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Cs w:val="21"/>
                <w:lang w:bidi="ar"/>
              </w:rPr>
              <w:t>0.5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Cs w:val="21"/>
                <w:lang w:bidi="ar"/>
              </w:rPr>
              <w:t>0.6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Cs w:val="21"/>
                <w:lang w:bidi="ar"/>
              </w:rPr>
              <w:t>0.7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Cs w:val="21"/>
                <w:lang w:bidi="ar"/>
              </w:rPr>
              <w:t>0.8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Cs w:val="21"/>
                <w:lang w:bidi="ar"/>
              </w:rPr>
              <w:t>0.9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456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Cs w:val="21"/>
                <w:lang w:bidi="ar"/>
              </w:rPr>
              <w:t>15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999.099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999.084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999.069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999.053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999.038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999.022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999.006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998.991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998.975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998.959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456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Cs w:val="21"/>
                <w:lang w:bidi="ar"/>
              </w:rPr>
              <w:t>16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998.943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998.926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998.910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998.893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998.876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998.860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998.843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998.826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998.809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998.792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456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Cs w:val="21"/>
                <w:lang w:bidi="ar"/>
              </w:rPr>
              <w:t>17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998.774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998.757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998.739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998.722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998.704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998.686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998.668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998.650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998.632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998.613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456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Cs w:val="21"/>
                <w:lang w:bidi="ar"/>
              </w:rPr>
              <w:t>18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998.595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998.576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998.557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998.539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998.520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998.501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998.482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998.463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998.443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998.424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456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Cs w:val="21"/>
                <w:lang w:bidi="ar"/>
              </w:rPr>
              <w:t>19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998.404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998.385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998.365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998.345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998.325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998.305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998.285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998.265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998.244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998.224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456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Cs w:val="21"/>
                <w:lang w:bidi="ar"/>
              </w:rPr>
              <w:t>20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998.203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998.182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998.162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998.141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998.120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998.099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998.077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998.056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998.035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998.013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456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Cs w:val="21"/>
                <w:lang w:bidi="ar"/>
              </w:rPr>
              <w:t>21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997.991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997.970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997.948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997.926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997.904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997.882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997.859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997.837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997.815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997.792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456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Cs w:val="21"/>
                <w:lang w:bidi="ar"/>
              </w:rPr>
              <w:t>22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997.769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997.747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997.724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997.701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997.678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997.655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997.631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997.608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997.584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997.561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456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Cs w:val="21"/>
                <w:lang w:bidi="ar"/>
              </w:rPr>
              <w:t>23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997.537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997.513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997.490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997.466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997.442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997.417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997.393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997.396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997.344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997.320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456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Cs w:val="21"/>
                <w:lang w:bidi="ar"/>
              </w:rPr>
              <w:t>24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997.295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997.270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997.246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997.221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997.195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997.170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997.145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997.120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997.094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997.069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456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Cs w:val="21"/>
                <w:lang w:bidi="ar"/>
              </w:rPr>
              <w:t>25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997.043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997.018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996.992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996.966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996.940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996.914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996.888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996.861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996.835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996.809</w:t>
            </w:r>
          </w:p>
        </w:tc>
      </w:tr>
    </w:tbl>
    <w:p>
      <w:pPr>
        <w:pStyle w:val="13"/>
        <w:pageBreakBefore w:val="0"/>
        <w:kinsoku/>
        <w:wordWrap/>
        <w:overflowPunct/>
        <w:topLinePunct w:val="0"/>
        <w:bidi w:val="0"/>
        <w:spacing w:line="360" w:lineRule="auto"/>
        <w:ind w:right="11"/>
        <w:jc w:val="left"/>
        <w:textAlignment w:val="center"/>
        <w:outlineLvl w:val="0"/>
        <w:rPr>
          <w:rFonts w:hint="default" w:ascii="Times New Roman" w:hAnsi="Times New Roman" w:eastAsia="黑体" w:cs="Times New Roman"/>
          <w:caps w:val="0"/>
          <w:color w:val="auto"/>
          <w:spacing w:val="0"/>
          <w:position w:val="0"/>
          <w:sz w:val="28"/>
          <w:szCs w:val="28"/>
        </w:rPr>
      </w:pPr>
      <w:bookmarkStart w:id="38" w:name="_Toc1601"/>
      <w:r>
        <w:rPr>
          <w:rFonts w:hint="default" w:ascii="Times New Roman" w:hAnsi="Times New Roman" w:eastAsia="黑体" w:cs="Times New Roman"/>
          <w:caps w:val="0"/>
          <w:color w:val="auto"/>
          <w:spacing w:val="0"/>
          <w:position w:val="0"/>
          <w:sz w:val="28"/>
          <w:szCs w:val="28"/>
        </w:rPr>
        <w:t>附录</w:t>
      </w:r>
      <w:r>
        <w:rPr>
          <w:rFonts w:hint="eastAsia" w:ascii="Times New Roman" w:hAnsi="Times New Roman" w:eastAsia="黑体" w:cs="Times New Roman"/>
          <w:caps w:val="0"/>
          <w:color w:val="auto"/>
          <w:spacing w:val="0"/>
          <w:position w:val="0"/>
          <w:sz w:val="28"/>
          <w:szCs w:val="28"/>
        </w:rPr>
        <w:t>E</w:t>
      </w:r>
      <w:bookmarkEnd w:id="38"/>
      <w:r>
        <w:rPr>
          <w:rFonts w:hint="eastAsia" w:ascii="Times New Roman" w:hAnsi="Times New Roman" w:eastAsia="黑体" w:cs="Times New Roman"/>
          <w:caps w:val="0"/>
          <w:color w:val="auto"/>
          <w:spacing w:val="0"/>
          <w:position w:val="0"/>
          <w:sz w:val="28"/>
          <w:szCs w:val="28"/>
        </w:rPr>
        <w:t xml:space="preserve"> </w:t>
      </w:r>
    </w:p>
    <w:p>
      <w:pPr>
        <w:spacing w:line="360" w:lineRule="auto"/>
        <w:jc w:val="center"/>
        <w:textAlignment w:val="center"/>
        <w:outlineLvl w:val="0"/>
        <w:rPr>
          <w:rFonts w:hint="eastAsia" w:ascii="黑体" w:hAnsi="黑体" w:eastAsia="黑体" w:cs="黑体"/>
          <w:sz w:val="28"/>
          <w:szCs w:val="28"/>
        </w:rPr>
      </w:pPr>
      <w:bookmarkStart w:id="39" w:name="_Toc9795"/>
      <w:r>
        <w:rPr>
          <w:rFonts w:hint="eastAsia" w:ascii="黑体" w:hAnsi="黑体" w:eastAsia="黑体" w:cs="黑体"/>
          <w:sz w:val="28"/>
          <w:szCs w:val="28"/>
        </w:rPr>
        <w:t>微量进样器衡量法</w:t>
      </w:r>
      <w:r>
        <w:rPr>
          <w:rFonts w:hint="eastAsia" w:ascii="黑体" w:hAnsi="黑体" w:eastAsia="黑体" w:cs="黑体"/>
          <w:i/>
          <w:iCs/>
          <w:sz w:val="28"/>
          <w:szCs w:val="28"/>
        </w:rPr>
        <w:t>K</w:t>
      </w:r>
      <w:r>
        <w:rPr>
          <w:rFonts w:hint="eastAsia" w:ascii="黑体" w:hAnsi="黑体" w:eastAsia="黑体" w:cs="黑体"/>
          <w:sz w:val="28"/>
          <w:szCs w:val="28"/>
        </w:rPr>
        <w:t>(</w:t>
      </w:r>
      <w:r>
        <w:rPr>
          <w:rFonts w:hint="eastAsia" w:ascii="黑体" w:hAnsi="黑体" w:eastAsia="黑体" w:cs="黑体"/>
          <w:i/>
          <w:iCs/>
          <w:sz w:val="28"/>
          <w:szCs w:val="28"/>
        </w:rPr>
        <w:t>t</w:t>
      </w:r>
      <w:r>
        <w:rPr>
          <w:rFonts w:hint="eastAsia" w:ascii="黑体" w:hAnsi="黑体" w:eastAsia="黑体" w:cs="黑体"/>
          <w:sz w:val="28"/>
          <w:szCs w:val="28"/>
        </w:rPr>
        <w:t>)值表</w:t>
      </w:r>
      <w:bookmarkEnd w:id="39"/>
    </w:p>
    <w:p>
      <w:pPr>
        <w:spacing w:line="360" w:lineRule="auto"/>
        <w:ind w:left="2363" w:hanging="2362" w:hangingChars="1125"/>
        <w:jc w:val="center"/>
        <w:textAlignment w:val="center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Cs w:val="21"/>
        </w:rPr>
        <w:t>表E.1 （钠钙玻璃体胀系数25×10</w:t>
      </w:r>
      <w:r>
        <w:rPr>
          <w:rFonts w:hint="eastAsia" w:ascii="黑体" w:hAnsi="黑体" w:eastAsia="黑体" w:cs="黑体"/>
          <w:szCs w:val="21"/>
          <w:vertAlign w:val="superscript"/>
        </w:rPr>
        <w:t>-6</w:t>
      </w:r>
      <w:r>
        <w:rPr>
          <w:rFonts w:hint="eastAsia" w:ascii="黑体" w:hAnsi="黑体" w:eastAsia="黑体" w:cs="黑体"/>
          <w:szCs w:val="21"/>
        </w:rPr>
        <w:t>℃</w:t>
      </w:r>
      <w:r>
        <w:rPr>
          <w:rFonts w:hint="eastAsia" w:ascii="黑体" w:hAnsi="黑体" w:eastAsia="黑体" w:cs="黑体"/>
          <w:szCs w:val="21"/>
          <w:vertAlign w:val="superscript"/>
        </w:rPr>
        <w:t>-1</w:t>
      </w:r>
      <w:r>
        <w:rPr>
          <w:rFonts w:hint="eastAsia" w:ascii="黑体" w:hAnsi="黑体" w:eastAsia="黑体" w:cs="黑体"/>
          <w:szCs w:val="21"/>
        </w:rPr>
        <w:t>，空气密度0.0012g/cm</w:t>
      </w:r>
      <w:r>
        <w:rPr>
          <w:rFonts w:hint="eastAsia" w:ascii="黑体" w:hAnsi="黑体" w:eastAsia="黑体" w:cs="黑体"/>
          <w:szCs w:val="21"/>
          <w:vertAlign w:val="superscript"/>
        </w:rPr>
        <w:t>3</w:t>
      </w:r>
      <w:r>
        <w:rPr>
          <w:rFonts w:hint="eastAsia" w:ascii="黑体" w:hAnsi="黑体" w:eastAsia="黑体" w:cs="黑体"/>
          <w:szCs w:val="21"/>
        </w:rPr>
        <w:t>）</w:t>
      </w:r>
    </w:p>
    <w:tbl>
      <w:tblPr>
        <w:tblStyle w:val="24"/>
        <w:tblpPr w:leftFromText="180" w:rightFromText="180" w:vertAnchor="text" w:horzAnchor="page" w:tblpX="1207" w:tblpY="34"/>
        <w:tblOverlap w:val="never"/>
        <w:tblW w:w="499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8"/>
        <w:gridCol w:w="1281"/>
        <w:gridCol w:w="1281"/>
        <w:gridCol w:w="1281"/>
        <w:gridCol w:w="1281"/>
        <w:gridCol w:w="1281"/>
        <w:gridCol w:w="1281"/>
        <w:gridCol w:w="1281"/>
        <w:gridCol w:w="1281"/>
        <w:gridCol w:w="1281"/>
        <w:gridCol w:w="12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457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rPr>
                <w:rFonts w:hint="eastAsia"/>
                <w:lang w:eastAsia="zh-CN"/>
              </w:rPr>
              <w:t>水</w:t>
            </w:r>
            <w:r>
              <w:t>温/℃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0.0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0.1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0.2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0.3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0.4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0.5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0.6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0.7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0.8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0.9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457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15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1.00208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1.00209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1.00210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rPr>
                <w:rFonts w:hint="eastAsia"/>
                <w:lang w:eastAsia="zh-CN"/>
              </w:rPr>
              <w:t>1.</w:t>
            </w:r>
            <w:r>
              <w:t>00211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1.00213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1.00214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1.00215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rPr>
                <w:rFonts w:hint="eastAsia"/>
                <w:lang w:eastAsia="zh-CN"/>
              </w:rPr>
              <w:t>1.</w:t>
            </w:r>
            <w:r>
              <w:t>00217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1.00218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457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16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rPr>
                <w:rFonts w:hint="eastAsia"/>
                <w:lang w:eastAsia="zh-CN"/>
              </w:rPr>
              <w:t>1.</w:t>
            </w:r>
            <w:r>
              <w:t>00221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1.00222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1.00223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1.00225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1.00226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1.00228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1.00229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rPr>
                <w:rFonts w:hint="eastAsia"/>
                <w:lang w:eastAsia="zh-CN"/>
              </w:rPr>
              <w:t>1.</w:t>
            </w:r>
            <w:r>
              <w:t>00230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1.00232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457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17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1.00235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1.00236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1.00238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t>.00239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t>.00241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1.00242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rPr>
                <w:rFonts w:hint="eastAsia"/>
                <w:lang w:eastAsia="zh-CN"/>
              </w:rPr>
              <w:t>1.</w:t>
            </w:r>
            <w:r>
              <w:t>00244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1.00246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1.00247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457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18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1.00251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1.00252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1.00254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1.00255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t>.00257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1.00258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1.00260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1.00262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1.00263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457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19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1.00267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1.00268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1.00270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1.00272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1.00274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1.00276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1.00277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1.00279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1.00281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457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20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rPr>
                <w:rFonts w:hint="eastAsia"/>
                <w:lang w:eastAsia="zh-CN"/>
              </w:rPr>
              <w:t>1.</w:t>
            </w:r>
            <w:r>
              <w:t>00285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1.00287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1.00289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rPr>
                <w:rFonts w:hint="eastAsia"/>
                <w:lang w:eastAsia="zh-CN"/>
              </w:rPr>
              <w:t>1.</w:t>
            </w:r>
            <w:r>
              <w:t>00291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1.00292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1.00294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1.00296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rPr>
                <w:rFonts w:hint="eastAsia"/>
                <w:lang w:eastAsia="zh-CN"/>
              </w:rPr>
              <w:t>1.</w:t>
            </w:r>
            <w:r>
              <w:t>00298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1.00300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1.00302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457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21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rPr>
                <w:rFonts w:hint="eastAsia"/>
                <w:lang w:eastAsia="zh-CN"/>
              </w:rPr>
              <w:t>1.</w:t>
            </w:r>
            <w:r>
              <w:t>00304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1.00306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1.00308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1.00310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1.00312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1.00314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1.00315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rPr>
                <w:rFonts w:hint="eastAsia"/>
                <w:lang w:eastAsia="zh-CN"/>
              </w:rPr>
              <w:t>1.</w:t>
            </w:r>
            <w:r>
              <w:t>00317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1.00319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1.00321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457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22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1.00323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1.00325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1.00327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1.00329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rPr>
                <w:rFonts w:hint="eastAsia"/>
                <w:lang w:eastAsia="zh-CN"/>
              </w:rPr>
              <w:t>1.</w:t>
            </w:r>
            <w:r>
              <w:t>00331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1.00333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1.00335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rPr>
                <w:rFonts w:hint="eastAsia"/>
                <w:lang w:eastAsia="zh-CN"/>
              </w:rPr>
              <w:t>1.</w:t>
            </w:r>
            <w:r>
              <w:t>00337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1.00339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1.00341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457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23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rPr>
                <w:rFonts w:hint="eastAsia"/>
                <w:lang w:eastAsia="zh-CN"/>
              </w:rPr>
              <w:t>1.</w:t>
            </w:r>
            <w:r>
              <w:t>00344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1.00346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1.00348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1.00350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1.00352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1.00354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1.00356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rPr>
                <w:rFonts w:hint="eastAsia"/>
                <w:lang w:eastAsia="zh-CN"/>
              </w:rPr>
              <w:t>1.</w:t>
            </w:r>
            <w:r>
              <w:t>00359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rPr>
                <w:rFonts w:hint="eastAsia"/>
                <w:lang w:eastAsia="zh-CN"/>
              </w:rPr>
              <w:t>1.</w:t>
            </w:r>
            <w:r>
              <w:t>00361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lang w:eastAsia="zh-CN"/>
              </w:rPr>
            </w:pPr>
            <w:r>
              <w:t>1.00363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457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highlight w:val="none"/>
                <w:lang w:eastAsia="zh-CN"/>
              </w:rPr>
            </w:pPr>
            <w:r>
              <w:rPr>
                <w:highlight w:val="none"/>
              </w:rPr>
              <w:t>24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eastAsia="zh-CN"/>
              </w:rPr>
              <w:t>1.</w:t>
            </w:r>
            <w:r>
              <w:rPr>
                <w:highlight w:val="none"/>
              </w:rPr>
              <w:t>00366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highlight w:val="none"/>
                <w:lang w:eastAsia="zh-CN"/>
              </w:rPr>
            </w:pPr>
            <w:r>
              <w:rPr>
                <w:highlight w:val="none"/>
              </w:rPr>
              <w:t>1.00368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highlight w:val="none"/>
                <w:lang w:eastAsia="zh-CN"/>
              </w:rPr>
            </w:pPr>
            <w:r>
              <w:rPr>
                <w:highlight w:val="none"/>
              </w:rPr>
              <w:t>1.00370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highlight w:val="none"/>
                <w:lang w:eastAsia="zh-CN"/>
              </w:rPr>
            </w:pPr>
            <w:r>
              <w:rPr>
                <w:highlight w:val="none"/>
              </w:rPr>
              <w:t>1.00372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eastAsia="zh-CN"/>
              </w:rPr>
              <w:t>1.</w:t>
            </w:r>
            <w:r>
              <w:rPr>
                <w:highlight w:val="none"/>
              </w:rPr>
              <w:t>00374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highlight w:val="none"/>
                <w:lang w:eastAsia="zh-CN"/>
              </w:rPr>
            </w:pPr>
            <w:r>
              <w:rPr>
                <w:highlight w:val="none"/>
              </w:rPr>
              <w:t>1.00376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highlight w:val="none"/>
                <w:lang w:eastAsia="zh-CN"/>
              </w:rPr>
            </w:pPr>
            <w:r>
              <w:rPr>
                <w:highlight w:val="none"/>
              </w:rPr>
              <w:t>1.00379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highlight w:val="none"/>
                <w:lang w:eastAsia="zh-CN"/>
              </w:rPr>
            </w:pPr>
            <w:r>
              <w:rPr>
                <w:highlight w:val="none"/>
              </w:rPr>
              <w:t>1.00381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highlight w:val="none"/>
                <w:lang w:eastAsia="zh-CN"/>
              </w:rPr>
            </w:pPr>
            <w:r>
              <w:rPr>
                <w:highlight w:val="none"/>
              </w:rPr>
              <w:t>1.00383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highlight w:val="none"/>
                <w:lang w:eastAsia="zh-CN"/>
              </w:rPr>
            </w:pPr>
            <w:r>
              <w:rPr>
                <w:highlight w:val="none"/>
              </w:rPr>
              <w:t>1.00386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457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highlight w:val="none"/>
                <w:lang w:eastAsia="zh-CN"/>
              </w:rPr>
            </w:pPr>
            <w:r>
              <w:rPr>
                <w:highlight w:val="none"/>
              </w:rPr>
              <w:t>25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eastAsia="zh-CN"/>
              </w:rPr>
              <w:t>1.</w:t>
            </w:r>
            <w:r>
              <w:rPr>
                <w:highlight w:val="none"/>
              </w:rPr>
              <w:t>00389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highlight w:val="none"/>
                <w:lang w:eastAsia="zh-CN"/>
              </w:rPr>
            </w:pPr>
            <w:r>
              <w:rPr>
                <w:highlight w:val="none"/>
              </w:rPr>
              <w:t>1.00391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highlight w:val="none"/>
                <w:lang w:eastAsia="zh-CN"/>
              </w:rPr>
            </w:pPr>
            <w:r>
              <w:rPr>
                <w:highlight w:val="none"/>
              </w:rPr>
              <w:t>1.00393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highlight w:val="none"/>
                <w:lang w:eastAsia="zh-CN"/>
              </w:rPr>
            </w:pPr>
            <w:r>
              <w:rPr>
                <w:highlight w:val="none"/>
              </w:rPr>
              <w:t>1.00395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eastAsia="zh-CN"/>
              </w:rPr>
              <w:t>1.</w:t>
            </w:r>
            <w:r>
              <w:rPr>
                <w:highlight w:val="none"/>
              </w:rPr>
              <w:t>00397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highlight w:val="none"/>
                <w:lang w:eastAsia="zh-CN"/>
              </w:rPr>
            </w:pPr>
            <w:r>
              <w:rPr>
                <w:highlight w:val="none"/>
              </w:rPr>
              <w:t>1.00400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highlight w:val="none"/>
                <w:lang w:eastAsia="zh-CN"/>
              </w:rPr>
            </w:pPr>
            <w:r>
              <w:rPr>
                <w:highlight w:val="none"/>
              </w:rPr>
              <w:t>1.00402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highlight w:val="none"/>
                <w:lang w:eastAsia="zh-CN"/>
              </w:rPr>
            </w:pPr>
            <w:r>
              <w:rPr>
                <w:highlight w:val="none"/>
              </w:rPr>
              <w:t>1.00404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highlight w:val="none"/>
                <w:lang w:eastAsia="zh-CN"/>
              </w:rPr>
            </w:pPr>
            <w:r>
              <w:rPr>
                <w:highlight w:val="none"/>
              </w:rPr>
              <w:t>1.00407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eastAsiaTheme="majorEastAsia"/>
                <w:highlight w:val="none"/>
                <w:lang w:eastAsia="zh-CN"/>
              </w:rPr>
            </w:pPr>
            <w:r>
              <w:rPr>
                <w:highlight w:val="none"/>
              </w:rPr>
              <w:t>1.00409</w:t>
            </w:r>
          </w:p>
        </w:tc>
      </w:tr>
    </w:tbl>
    <w:p>
      <w:pPr>
        <w:spacing w:line="360" w:lineRule="auto"/>
        <w:ind w:left="1470" w:hanging="1470" w:hangingChars="525"/>
        <w:textAlignment w:val="center"/>
        <w:outlineLvl w:val="0"/>
        <w:rPr>
          <w:rFonts w:eastAsia="黑体"/>
          <w:sz w:val="28"/>
          <w:szCs w:val="28"/>
          <w:highlight w:val="none"/>
        </w:rPr>
      </w:pPr>
    </w:p>
    <w:p>
      <w:pPr>
        <w:spacing w:line="360" w:lineRule="auto"/>
        <w:ind w:left="2363" w:hanging="2362" w:hangingChars="1125"/>
        <w:jc w:val="center"/>
        <w:textAlignment w:val="center"/>
        <w:rPr>
          <w:rFonts w:hint="eastAsia" w:eastAsia="黑体"/>
          <w:szCs w:val="21"/>
        </w:rPr>
      </w:pPr>
    </w:p>
    <w:tbl>
      <w:tblPr>
        <w:tblStyle w:val="24"/>
        <w:tblpPr w:leftFromText="180" w:rightFromText="180" w:vertAnchor="text" w:horzAnchor="page" w:tblpX="1526" w:tblpY="1189"/>
        <w:tblOverlap w:val="never"/>
        <w:tblW w:w="499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7"/>
        <w:gridCol w:w="1281"/>
        <w:gridCol w:w="1281"/>
        <w:gridCol w:w="1281"/>
        <w:gridCol w:w="1281"/>
        <w:gridCol w:w="1281"/>
        <w:gridCol w:w="1281"/>
        <w:gridCol w:w="1281"/>
        <w:gridCol w:w="1281"/>
        <w:gridCol w:w="1281"/>
        <w:gridCol w:w="12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456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水温/℃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0.0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0.1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0.2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0.3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0.4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0.5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0.6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0.7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0.8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0.9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456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15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1.00200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1.00201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1.00203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1.00204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1.00206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1.00207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1.00209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1.00210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1.00212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456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16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1.00215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1.00216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1.00218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1.00219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1.00221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1.00222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1.00224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1.00225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1.00227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8" w:hRule="atLeast"/>
        </w:trPr>
        <w:tc>
          <w:tcPr>
            <w:tcW w:w="456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17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1.00230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1.00232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1.00234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1.00235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1.00237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1.00239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1.00240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1.00242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1.00244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456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18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1.00247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1.00249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1.00251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1.00253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1.00254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1.00256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1.00258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1.00260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1.00262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456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19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1.00266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1.00267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1.00269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1.00271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1.00273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1.00275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1.00277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1.00279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1.00281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456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20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1.00285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1.00286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1.00288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1.00290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1.00292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1.00294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1.00296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1.00298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1.00300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8" w:hRule="atLeast"/>
        </w:trPr>
        <w:tc>
          <w:tcPr>
            <w:tcW w:w="456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21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1.00305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1.00307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1.00309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1.00311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1.00313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1.00315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1.00317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1.00319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1.00322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456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22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1.00327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1.00329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1.00331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1.00333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1.00335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1.00337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1.00339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1.00341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1.00343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456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23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1.00349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1.00351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1.00353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1.00355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1.00357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1.00359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1.00362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1.00364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1.00366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456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24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1.00372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1.00374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1.00376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1.00378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1.00381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1.00383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1.00386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1.00388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1.00391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8" w:hRule="atLeast"/>
        </w:trPr>
        <w:tc>
          <w:tcPr>
            <w:tcW w:w="456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25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1.00397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1.00399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1.00401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1.00403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1.00405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1.00408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1.00410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1.00413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1.00416</w:t>
            </w:r>
          </w:p>
        </w:tc>
        <w:tc>
          <w:tcPr>
            <w:tcW w:w="454" w:type="pct"/>
            <w:vAlign w:val="center"/>
          </w:tcPr>
          <w:p>
            <w:pPr>
              <w:pStyle w:val="42"/>
              <w:framePr w:hSpace="0" w:wrap="auto" w:vAnchor="margin" w:hAnchor="text" w:xAlign="left" w:yAlign="inline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1.00419</w:t>
            </w:r>
          </w:p>
        </w:tc>
      </w:tr>
    </w:tbl>
    <w:p>
      <w:pPr>
        <w:spacing w:line="360" w:lineRule="auto"/>
        <w:ind w:left="2363" w:hanging="2362" w:hangingChars="1125"/>
        <w:jc w:val="center"/>
        <w:textAlignment w:val="center"/>
        <w:rPr>
          <w:rFonts w:hint="eastAsia" w:eastAsia="黑体"/>
          <w:szCs w:val="21"/>
        </w:rPr>
      </w:pPr>
    </w:p>
    <w:p>
      <w:pPr>
        <w:spacing w:line="360" w:lineRule="auto"/>
        <w:ind w:left="2363" w:hanging="2362" w:hangingChars="1125"/>
        <w:jc w:val="center"/>
        <w:textAlignment w:val="center"/>
        <w:rPr>
          <w:rFonts w:hint="eastAsia" w:ascii="黑体" w:hAnsi="黑体" w:eastAsia="黑体" w:cs="黑体"/>
          <w:szCs w:val="21"/>
        </w:rPr>
      </w:pPr>
      <w:r>
        <w:rPr>
          <w:rFonts w:hint="eastAsia" w:ascii="黑体" w:hAnsi="黑体" w:eastAsia="黑体" w:cs="黑体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3615055</wp:posOffset>
                </wp:positionH>
                <wp:positionV relativeFrom="paragraph">
                  <wp:posOffset>4787265</wp:posOffset>
                </wp:positionV>
                <wp:extent cx="2077720" cy="635"/>
                <wp:effectExtent l="0" t="0" r="0" b="0"/>
                <wp:wrapNone/>
                <wp:docPr id="8" name="直线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772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99" o:spid="_x0000_s1026" o:spt="20" style="position:absolute;left:0pt;margin-left:284.65pt;margin-top:376.95pt;height:0.05pt;width:163.6pt;z-index:251663360;mso-width-relative:page;mso-height-relative:page;" filled="f" stroked="t" coordsize="21600,21600" o:gfxdata="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BYAAABkcnMvUEsBAhQAFAAAAAgAh07iQHtv5QLZAAAACwEAAA8A&#10;AAAAAAAAAQAgAAAAOAAAAGRycy9kb3ducmV2LnhtbFBLAQIUABQAAAAIAIdO4kDJB2RaxwEAAIQD&#10;AAAOAAAAAAAAAAEAIAAAAD4BAABkcnMvZTJvRG9jLnhtbFBLBQYAAAAABgAGAFkBAAB3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黑体" w:hAnsi="黑体" w:eastAsia="黑体" w:cs="黑体"/>
          <w:szCs w:val="21"/>
        </w:rPr>
        <w:t>表E.2 （硼硅玻璃体胀系数10×10</w:t>
      </w:r>
      <w:r>
        <w:rPr>
          <w:rFonts w:hint="eastAsia" w:ascii="黑体" w:hAnsi="黑体" w:eastAsia="黑体" w:cs="黑体"/>
          <w:szCs w:val="21"/>
          <w:vertAlign w:val="superscript"/>
        </w:rPr>
        <w:t>-6</w:t>
      </w:r>
      <w:r>
        <w:rPr>
          <w:rFonts w:hint="eastAsia" w:ascii="黑体" w:hAnsi="黑体" w:eastAsia="黑体" w:cs="黑体"/>
          <w:szCs w:val="21"/>
        </w:rPr>
        <w:t>℃</w:t>
      </w:r>
      <w:r>
        <w:rPr>
          <w:rFonts w:hint="eastAsia" w:ascii="黑体" w:hAnsi="黑体" w:eastAsia="黑体" w:cs="黑体"/>
          <w:szCs w:val="21"/>
          <w:vertAlign w:val="superscript"/>
        </w:rPr>
        <w:t>-1</w:t>
      </w:r>
      <w:r>
        <w:rPr>
          <w:rFonts w:hint="eastAsia" w:ascii="黑体" w:hAnsi="黑体" w:eastAsia="黑体" w:cs="黑体"/>
          <w:szCs w:val="21"/>
        </w:rPr>
        <w:t>，空气密度0.0012g/cm</w:t>
      </w:r>
      <w:r>
        <w:rPr>
          <w:rFonts w:hint="eastAsia" w:ascii="黑体" w:hAnsi="黑体" w:eastAsia="黑体" w:cs="黑体"/>
          <w:szCs w:val="21"/>
          <w:vertAlign w:val="superscript"/>
        </w:rPr>
        <w:t>3</w:t>
      </w:r>
      <w:r>
        <w:rPr>
          <w:rFonts w:hint="eastAsia" w:ascii="黑体" w:hAnsi="黑体" w:eastAsia="黑体" w:cs="黑体"/>
          <w:szCs w:val="21"/>
        </w:rPr>
        <w:t>）</w:t>
      </w:r>
    </w:p>
    <w:p>
      <w:pPr>
        <w:spacing w:line="360" w:lineRule="auto"/>
        <w:ind w:firstLine="480" w:firstLineChars="200"/>
        <w:jc w:val="center"/>
        <w:rPr>
          <w:sz w:val="24"/>
        </w:rPr>
        <w:sectPr>
          <w:pgSz w:w="16838" w:h="11906" w:orient="landscape"/>
          <w:pgMar w:top="1417" w:right="1701" w:bottom="1417" w:left="1247" w:header="851" w:footer="992" w:gutter="0"/>
          <w:cols w:space="720" w:num="1"/>
          <w:docGrid w:type="lines" w:linePitch="312" w:charSpace="0"/>
        </w:sectPr>
      </w:pPr>
    </w:p>
    <w:bookmarkEnd w:id="0"/>
    <w:bookmarkEnd w:id="1"/>
    <w:p>
      <w:pPr>
        <w:spacing w:line="360" w:lineRule="auto"/>
        <w:jc w:val="left"/>
        <w:textAlignment w:val="center"/>
        <w:rPr>
          <w:rStyle w:val="32"/>
          <w:sz w:val="24"/>
          <w:szCs w:val="22"/>
        </w:rPr>
      </w:pPr>
      <w:r>
        <w:rPr>
          <w:rFonts w:hint="default" w:ascii="Times New Roman" w:hAnsi="Times New Roman" w:eastAsia="黑体" w:cs="Times New Roman"/>
          <w:caps w:val="0"/>
          <w:color w:val="auto"/>
          <w:spacing w:val="0"/>
          <w:positio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6009005</wp:posOffset>
                </wp:positionH>
                <wp:positionV relativeFrom="paragraph">
                  <wp:posOffset>-283845</wp:posOffset>
                </wp:positionV>
                <wp:extent cx="516890" cy="1834515"/>
                <wp:effectExtent l="4445" t="4445" r="12065" b="8890"/>
                <wp:wrapNone/>
                <wp:docPr id="7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16890" cy="1834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黑体" w:hAnsi="黑体" w:eastAsia="黑体"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pacing w:val="20"/>
                                <w:sz w:val="28"/>
                                <w:szCs w:val="28"/>
                              </w:rPr>
                              <w:t>JJF（黑）xx—2024</w:t>
                            </w:r>
                          </w:p>
                        </w:txbxContent>
                      </wps:txbx>
                      <wps:bodyPr vert="vert270" wrap="square" upright="true"/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473.15pt;margin-top:-22.35pt;height:144.45pt;width:40.7pt;z-index:251665408;mso-width-relative:page;mso-height-relative:page;" fillcolor="#FFFFFF" filled="t" stroked="t" coordsize="21600,21600" o:gfxdata="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BYAAABkcnMvUEsBAhQAFAAAAAgAh07iQFXOIGDbAAAADAEA&#10;AA8AAAAAAAAAAQAgAAAAOAAAAGRycy9kb3ducmV2LnhtbFBLAQIUABQAAAAIAIdO4kC7yyZ/AQIA&#10;AAsEAAAOAAAAAAAAAAEAIAAAAEABAABkcnMvZTJvRG9jLnhtbFBLBQYAAAAABgAGAFkBAACzBQAA&#10;AAA=&#10;">
                <v:fill on="t" focussize="0,0"/>
                <v:stroke color="#FFFFFF" joinstyle="miter"/>
                <v:imagedata o:title=""/>
                <o:lock v:ext="edit" aspectratio="f"/>
                <v:textbox style="layout-flow:vertical;mso-layout-flow-alt:bottom-to-top;">
                  <w:txbxContent>
                    <w:p>
                      <w:pPr>
                        <w:rPr>
                          <w:rFonts w:ascii="黑体" w:hAnsi="黑体" w:eastAsia="黑体"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/>
                          <w:spacing w:val="20"/>
                          <w:sz w:val="28"/>
                          <w:szCs w:val="28"/>
                        </w:rPr>
                        <w:t>JJF（黑）xx—2024</w:t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r:id="rId13" w:type="default"/>
      <w:footerReference r:id="rId14" w:type="default"/>
      <w:pgSz w:w="11906" w:h="16838"/>
      <w:pgMar w:top="1701" w:right="1417" w:bottom="1247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01"/>
    <w:family w:val="roman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Verdana">
    <w:altName w:val="Ubuntu"/>
    <w:panose1 w:val="020B0604030504040204"/>
    <w:charset w:val="00"/>
    <w:family w:val="swiss"/>
    <w:pitch w:val="default"/>
    <w:sig w:usb0="00000000" w:usb1="00000000" w:usb2="00000010" w:usb3="00000000" w:csb0="2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I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FgAAAGRycy9QSwEC&#10;FAAUAAAACACHTuJAzql5uc8AAAAFAQAADwAAAAAAAAABACAAAAA4AAAAZHJzL2Rvd25yZXYueG1s&#10;UEsBAhQAFAAAAAgAh07iQJtqmSqyAQAAUgMAAA4AAAAAAAAAAQAgAAAANA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I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II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BYAAABkcnMvUEsB&#10;AhQAFAAAAAgAh07iQM6pebnPAAAABQEAAA8AAAAAAAAAAQAgAAAAOAAAAGRycy9kb3ducmV2Lnht&#10;bFBLAQIUABQAAAAIAIdO4kDcb9bZswEAAFIDAAAOAAAAAAAAAAEAIAAAADQ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II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tabs>
        <w:tab w:val="right" w:pos="8959"/>
        <w:tab w:val="clear" w:pos="4153"/>
      </w:tabs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FgAAAGRycy9QSwEC&#10;FAAUAAAACACHTuJAzql5uc8AAAAFAQAADwAAAAAAAAABACAAAAA4AAAAZHJzL2Rvd25yZXYueG1s&#10;UEsBAhQAFAAAAAgAh07iQA6bmSeyAQAAUQMAAA4AAAAAAAAAAQAgAAAANA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tabs>
        <w:tab w:val="right" w:pos="8959"/>
        <w:tab w:val="clear" w:pos="4153"/>
      </w:tabs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pBdr>
        <w:bottom w:val="single" w:color="auto" w:sz="4" w:space="0"/>
      </w:pBdr>
      <w:ind w:left="210" w:right="210"/>
    </w:pPr>
    <w:r>
      <w:rPr>
        <w:sz w:val="21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8"/>
                            <w:ind w:left="210" w:right="210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I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FgAAAGRycy9QSwEC&#10;FAAUAAAACACHTuJAzql5uc8AAAAFAQAADwAAAAAAAAABACAAAAA4AAAAZHJzL2Rvd25yZXYueG1s&#10;UEsBAhQAFAAAAAgAh07iQJqigHayAQAAUgMAAA4AAAAAAAAAAQAgAAAANA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8"/>
                      <w:ind w:left="210" w:right="210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I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黑体" w:eastAsia="黑体"/>
        <w:sz w:val="21"/>
      </w:rPr>
      <w:t>JJF</w:t>
    </w:r>
    <w:r>
      <w:rPr>
        <w:rFonts w:hint="eastAsia" w:ascii="黑体" w:eastAsia="黑体"/>
        <w:sz w:val="21"/>
      </w:rPr>
      <w:t>（黑）</w:t>
    </w:r>
    <w:r>
      <w:rPr>
        <w:rFonts w:ascii="黑体" w:eastAsia="黑体"/>
        <w:sz w:val="21"/>
      </w:rPr>
      <w:t>XXX—2020</w:t>
    </w:r>
  </w:p>
  <w:p>
    <w:pPr>
      <w:pStyle w:val="18"/>
      <w:ind w:left="210" w:right="21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ind w:left="210" w:right="21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pBdr>
        <w:bottom w:val="single" w:color="auto" w:sz="4" w:space="0"/>
      </w:pBdr>
      <w:ind w:left="210" w:right="210"/>
      <w:rPr>
        <w:rFonts w:hint="eastAsia" w:ascii="黑体" w:hAnsi="黑体" w:eastAsia="黑体" w:cs="黑体"/>
        <w:lang w:eastAsia="zh-CN"/>
      </w:rPr>
    </w:pPr>
    <w:r>
      <w:rPr>
        <w:rFonts w:hint="eastAsia" w:ascii="黑体" w:hAnsi="黑体" w:eastAsia="黑体" w:cs="黑体"/>
        <w:sz w:val="21"/>
      </w:rPr>
      <w:t>JJF（黑）</w:t>
    </w:r>
    <w:r>
      <w:rPr>
        <w:rFonts w:hint="eastAsia" w:ascii="黑体" w:hAnsi="黑体" w:eastAsia="黑体" w:cs="黑体"/>
        <w:sz w:val="21"/>
        <w:lang w:val="en-US" w:eastAsia="zh-CN"/>
      </w:rPr>
      <w:t>XXX</w:t>
    </w:r>
    <w:r>
      <w:rPr>
        <w:rFonts w:hint="eastAsia" w:ascii="黑体" w:hAnsi="黑体" w:eastAsia="黑体" w:cs="黑体"/>
        <w:sz w:val="21"/>
      </w:rPr>
      <w:t>—202</w:t>
    </w:r>
    <w:r>
      <w:rPr>
        <w:rFonts w:hint="eastAsia" w:ascii="黑体" w:hAnsi="黑体" w:eastAsia="黑体" w:cs="黑体"/>
        <w:sz w:val="21"/>
        <w:lang w:val="en-US" w:eastAsia="zh-CN"/>
      </w:rPr>
      <w:t>4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pBdr>
        <w:bottom w:val="single" w:color="auto" w:sz="4" w:space="0"/>
      </w:pBdr>
      <w:ind w:left="210" w:right="210"/>
    </w:pPr>
    <w:r>
      <w:rPr>
        <w:rFonts w:eastAsia="黑体"/>
      </w:rPr>
      <w:t>JJF（黑）XX—2024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0"/>
      <w:numFmt w:val="decimal"/>
      <w:pStyle w:val="36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true"/>
  <w:bordersDoNotSurroundFooter w:val="true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oNotShadeFormData w:val="true"/>
  <w:noPunctuationKerning w:val="true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U1NjI3MWI1MTUzNDlmODVlNmJkZDRlN2E4MTQ5MzAifQ=="/>
    <w:docVar w:name="KSO_WPS_MARK_KEY" w:val="62f8360d-4b53-4af2-8764-6bbf1a4dd04c"/>
  </w:docVars>
  <w:rsids>
    <w:rsidRoot w:val="00172A27"/>
    <w:rsid w:val="00000CC4"/>
    <w:rsid w:val="00000ECE"/>
    <w:rsid w:val="00002027"/>
    <w:rsid w:val="00002A16"/>
    <w:rsid w:val="00003EE9"/>
    <w:rsid w:val="00004B69"/>
    <w:rsid w:val="00005048"/>
    <w:rsid w:val="0000627C"/>
    <w:rsid w:val="00006590"/>
    <w:rsid w:val="000070C9"/>
    <w:rsid w:val="00010761"/>
    <w:rsid w:val="00010A74"/>
    <w:rsid w:val="00014F9A"/>
    <w:rsid w:val="00020C56"/>
    <w:rsid w:val="000219F2"/>
    <w:rsid w:val="0002222C"/>
    <w:rsid w:val="00022531"/>
    <w:rsid w:val="000231EE"/>
    <w:rsid w:val="0002349A"/>
    <w:rsid w:val="000238EE"/>
    <w:rsid w:val="00024391"/>
    <w:rsid w:val="000270DD"/>
    <w:rsid w:val="00031014"/>
    <w:rsid w:val="000319A7"/>
    <w:rsid w:val="00032A4E"/>
    <w:rsid w:val="00032FD4"/>
    <w:rsid w:val="00033067"/>
    <w:rsid w:val="000338D1"/>
    <w:rsid w:val="000348B1"/>
    <w:rsid w:val="00036C63"/>
    <w:rsid w:val="00036D30"/>
    <w:rsid w:val="00040BCB"/>
    <w:rsid w:val="000438F8"/>
    <w:rsid w:val="00043AC7"/>
    <w:rsid w:val="000451E7"/>
    <w:rsid w:val="000466B6"/>
    <w:rsid w:val="00047176"/>
    <w:rsid w:val="00047E6C"/>
    <w:rsid w:val="00050809"/>
    <w:rsid w:val="00050AD6"/>
    <w:rsid w:val="00051591"/>
    <w:rsid w:val="000530E5"/>
    <w:rsid w:val="0005337F"/>
    <w:rsid w:val="000535CE"/>
    <w:rsid w:val="00054555"/>
    <w:rsid w:val="00055E3B"/>
    <w:rsid w:val="00055EC2"/>
    <w:rsid w:val="0006026E"/>
    <w:rsid w:val="0006297F"/>
    <w:rsid w:val="00064DE9"/>
    <w:rsid w:val="00066667"/>
    <w:rsid w:val="00074601"/>
    <w:rsid w:val="00075491"/>
    <w:rsid w:val="0007587E"/>
    <w:rsid w:val="0007715A"/>
    <w:rsid w:val="00080681"/>
    <w:rsid w:val="000819C0"/>
    <w:rsid w:val="00081A8D"/>
    <w:rsid w:val="00083C58"/>
    <w:rsid w:val="00083FED"/>
    <w:rsid w:val="000844EE"/>
    <w:rsid w:val="000872D8"/>
    <w:rsid w:val="000876A9"/>
    <w:rsid w:val="00087B96"/>
    <w:rsid w:val="00090368"/>
    <w:rsid w:val="0009067C"/>
    <w:rsid w:val="00090AB6"/>
    <w:rsid w:val="00091058"/>
    <w:rsid w:val="000916BA"/>
    <w:rsid w:val="00092F61"/>
    <w:rsid w:val="00093EA6"/>
    <w:rsid w:val="00094C8E"/>
    <w:rsid w:val="0009559E"/>
    <w:rsid w:val="00096757"/>
    <w:rsid w:val="000969DF"/>
    <w:rsid w:val="00096FA4"/>
    <w:rsid w:val="000972C8"/>
    <w:rsid w:val="00097523"/>
    <w:rsid w:val="000A2340"/>
    <w:rsid w:val="000A3214"/>
    <w:rsid w:val="000A448D"/>
    <w:rsid w:val="000A4C57"/>
    <w:rsid w:val="000A790B"/>
    <w:rsid w:val="000A7947"/>
    <w:rsid w:val="000B1206"/>
    <w:rsid w:val="000B1F4F"/>
    <w:rsid w:val="000B6072"/>
    <w:rsid w:val="000B6BF0"/>
    <w:rsid w:val="000B6DE4"/>
    <w:rsid w:val="000B721A"/>
    <w:rsid w:val="000B7910"/>
    <w:rsid w:val="000B7F92"/>
    <w:rsid w:val="000C03B9"/>
    <w:rsid w:val="000C067A"/>
    <w:rsid w:val="000C1EAE"/>
    <w:rsid w:val="000C24F4"/>
    <w:rsid w:val="000C33A5"/>
    <w:rsid w:val="000C40C0"/>
    <w:rsid w:val="000C477D"/>
    <w:rsid w:val="000C64CE"/>
    <w:rsid w:val="000C721C"/>
    <w:rsid w:val="000C78AC"/>
    <w:rsid w:val="000C7CEB"/>
    <w:rsid w:val="000D2E74"/>
    <w:rsid w:val="000D4B6C"/>
    <w:rsid w:val="000D4C0E"/>
    <w:rsid w:val="000D4CBB"/>
    <w:rsid w:val="000D5EDE"/>
    <w:rsid w:val="000D68AD"/>
    <w:rsid w:val="000D7C7C"/>
    <w:rsid w:val="000E0287"/>
    <w:rsid w:val="000E06A8"/>
    <w:rsid w:val="000E14A9"/>
    <w:rsid w:val="000E178E"/>
    <w:rsid w:val="000E1829"/>
    <w:rsid w:val="000E2042"/>
    <w:rsid w:val="000E24B3"/>
    <w:rsid w:val="000E24E9"/>
    <w:rsid w:val="000E2F48"/>
    <w:rsid w:val="000E3454"/>
    <w:rsid w:val="000E44FB"/>
    <w:rsid w:val="000E450D"/>
    <w:rsid w:val="000E481A"/>
    <w:rsid w:val="000E4CBE"/>
    <w:rsid w:val="000E7B49"/>
    <w:rsid w:val="000E7E0A"/>
    <w:rsid w:val="000F0294"/>
    <w:rsid w:val="000F1862"/>
    <w:rsid w:val="000F2797"/>
    <w:rsid w:val="000F28C3"/>
    <w:rsid w:val="000F29AC"/>
    <w:rsid w:val="000F3973"/>
    <w:rsid w:val="000F539E"/>
    <w:rsid w:val="000F61B2"/>
    <w:rsid w:val="000F64F1"/>
    <w:rsid w:val="00101110"/>
    <w:rsid w:val="001014FC"/>
    <w:rsid w:val="00102007"/>
    <w:rsid w:val="001029D6"/>
    <w:rsid w:val="00103086"/>
    <w:rsid w:val="001045F0"/>
    <w:rsid w:val="001047BA"/>
    <w:rsid w:val="001078D5"/>
    <w:rsid w:val="001101AA"/>
    <w:rsid w:val="00112C2D"/>
    <w:rsid w:val="00112D4A"/>
    <w:rsid w:val="00112D9E"/>
    <w:rsid w:val="00112FAF"/>
    <w:rsid w:val="0011363B"/>
    <w:rsid w:val="001139CA"/>
    <w:rsid w:val="001140C0"/>
    <w:rsid w:val="00115046"/>
    <w:rsid w:val="00115F2D"/>
    <w:rsid w:val="00120E4D"/>
    <w:rsid w:val="00121938"/>
    <w:rsid w:val="0012252B"/>
    <w:rsid w:val="00122FE6"/>
    <w:rsid w:val="00123958"/>
    <w:rsid w:val="0012405A"/>
    <w:rsid w:val="0012492F"/>
    <w:rsid w:val="00124C88"/>
    <w:rsid w:val="00124EBC"/>
    <w:rsid w:val="0012535C"/>
    <w:rsid w:val="00126C77"/>
    <w:rsid w:val="00127610"/>
    <w:rsid w:val="0012783B"/>
    <w:rsid w:val="001324FD"/>
    <w:rsid w:val="0013270B"/>
    <w:rsid w:val="00132CEB"/>
    <w:rsid w:val="0013623E"/>
    <w:rsid w:val="00136D68"/>
    <w:rsid w:val="001379FA"/>
    <w:rsid w:val="00141CFB"/>
    <w:rsid w:val="001433D9"/>
    <w:rsid w:val="00145385"/>
    <w:rsid w:val="001461C3"/>
    <w:rsid w:val="00146A4A"/>
    <w:rsid w:val="00147C70"/>
    <w:rsid w:val="001503EC"/>
    <w:rsid w:val="00150F3B"/>
    <w:rsid w:val="001518DF"/>
    <w:rsid w:val="00151F1A"/>
    <w:rsid w:val="00152365"/>
    <w:rsid w:val="001523B0"/>
    <w:rsid w:val="00152721"/>
    <w:rsid w:val="00152D29"/>
    <w:rsid w:val="00155E49"/>
    <w:rsid w:val="001572C1"/>
    <w:rsid w:val="00161C38"/>
    <w:rsid w:val="00163536"/>
    <w:rsid w:val="001636FF"/>
    <w:rsid w:val="0016495F"/>
    <w:rsid w:val="00164FCF"/>
    <w:rsid w:val="001659B6"/>
    <w:rsid w:val="00165C44"/>
    <w:rsid w:val="0016644F"/>
    <w:rsid w:val="00166FD6"/>
    <w:rsid w:val="00170CD7"/>
    <w:rsid w:val="001717FA"/>
    <w:rsid w:val="0017289C"/>
    <w:rsid w:val="00172A27"/>
    <w:rsid w:val="00172D95"/>
    <w:rsid w:val="00174CE8"/>
    <w:rsid w:val="00175C5C"/>
    <w:rsid w:val="0017671B"/>
    <w:rsid w:val="0017682E"/>
    <w:rsid w:val="001778FB"/>
    <w:rsid w:val="001779F1"/>
    <w:rsid w:val="001803AC"/>
    <w:rsid w:val="00181003"/>
    <w:rsid w:val="00182ED1"/>
    <w:rsid w:val="00184DA3"/>
    <w:rsid w:val="00184F1F"/>
    <w:rsid w:val="00184F6C"/>
    <w:rsid w:val="00185A18"/>
    <w:rsid w:val="0018647B"/>
    <w:rsid w:val="00186603"/>
    <w:rsid w:val="00190FB1"/>
    <w:rsid w:val="00191106"/>
    <w:rsid w:val="00192E6E"/>
    <w:rsid w:val="001934D0"/>
    <w:rsid w:val="00195094"/>
    <w:rsid w:val="00195251"/>
    <w:rsid w:val="00196B28"/>
    <w:rsid w:val="001A002C"/>
    <w:rsid w:val="001A2EC3"/>
    <w:rsid w:val="001A2F1D"/>
    <w:rsid w:val="001A393F"/>
    <w:rsid w:val="001A4502"/>
    <w:rsid w:val="001A4AC1"/>
    <w:rsid w:val="001A4D45"/>
    <w:rsid w:val="001A5260"/>
    <w:rsid w:val="001A6558"/>
    <w:rsid w:val="001A745D"/>
    <w:rsid w:val="001A77EE"/>
    <w:rsid w:val="001B0BFF"/>
    <w:rsid w:val="001B0E0E"/>
    <w:rsid w:val="001B2042"/>
    <w:rsid w:val="001B2229"/>
    <w:rsid w:val="001B3828"/>
    <w:rsid w:val="001B3CA6"/>
    <w:rsid w:val="001B4D4B"/>
    <w:rsid w:val="001B59DC"/>
    <w:rsid w:val="001B6065"/>
    <w:rsid w:val="001B7EEA"/>
    <w:rsid w:val="001C1CBF"/>
    <w:rsid w:val="001C1CF8"/>
    <w:rsid w:val="001C3E05"/>
    <w:rsid w:val="001C5EFF"/>
    <w:rsid w:val="001C63A6"/>
    <w:rsid w:val="001C6525"/>
    <w:rsid w:val="001C6A3F"/>
    <w:rsid w:val="001D0166"/>
    <w:rsid w:val="001D03BD"/>
    <w:rsid w:val="001D03F6"/>
    <w:rsid w:val="001D0ACD"/>
    <w:rsid w:val="001D2A61"/>
    <w:rsid w:val="001D32DD"/>
    <w:rsid w:val="001D37F1"/>
    <w:rsid w:val="001D46C8"/>
    <w:rsid w:val="001D4822"/>
    <w:rsid w:val="001D5A01"/>
    <w:rsid w:val="001D5A35"/>
    <w:rsid w:val="001D5B59"/>
    <w:rsid w:val="001D6A64"/>
    <w:rsid w:val="001D76DB"/>
    <w:rsid w:val="001E0190"/>
    <w:rsid w:val="001E0FAE"/>
    <w:rsid w:val="001E2291"/>
    <w:rsid w:val="001E2C90"/>
    <w:rsid w:val="001E4ED4"/>
    <w:rsid w:val="001E574A"/>
    <w:rsid w:val="001E627B"/>
    <w:rsid w:val="001E72BF"/>
    <w:rsid w:val="001E76C2"/>
    <w:rsid w:val="001E78F3"/>
    <w:rsid w:val="001E7933"/>
    <w:rsid w:val="001E7FDB"/>
    <w:rsid w:val="001F1745"/>
    <w:rsid w:val="001F188F"/>
    <w:rsid w:val="001F1929"/>
    <w:rsid w:val="001F2097"/>
    <w:rsid w:val="001F2DAC"/>
    <w:rsid w:val="001F4E02"/>
    <w:rsid w:val="001F4E10"/>
    <w:rsid w:val="001F5891"/>
    <w:rsid w:val="001F5B2C"/>
    <w:rsid w:val="001F5F67"/>
    <w:rsid w:val="001F74C0"/>
    <w:rsid w:val="001F781C"/>
    <w:rsid w:val="001F7EE5"/>
    <w:rsid w:val="0020171C"/>
    <w:rsid w:val="00201CC4"/>
    <w:rsid w:val="002034F7"/>
    <w:rsid w:val="00203EF9"/>
    <w:rsid w:val="002047CF"/>
    <w:rsid w:val="00211FF7"/>
    <w:rsid w:val="00212417"/>
    <w:rsid w:val="00212664"/>
    <w:rsid w:val="002128BA"/>
    <w:rsid w:val="00215787"/>
    <w:rsid w:val="002168AD"/>
    <w:rsid w:val="00216E4E"/>
    <w:rsid w:val="00217E21"/>
    <w:rsid w:val="0022032E"/>
    <w:rsid w:val="0022131A"/>
    <w:rsid w:val="00221AB1"/>
    <w:rsid w:val="00221E78"/>
    <w:rsid w:val="0022456D"/>
    <w:rsid w:val="00224E91"/>
    <w:rsid w:val="00225525"/>
    <w:rsid w:val="00230996"/>
    <w:rsid w:val="00231ABE"/>
    <w:rsid w:val="002322E9"/>
    <w:rsid w:val="00232559"/>
    <w:rsid w:val="00232B64"/>
    <w:rsid w:val="002335E4"/>
    <w:rsid w:val="00233615"/>
    <w:rsid w:val="00234480"/>
    <w:rsid w:val="0023539E"/>
    <w:rsid w:val="002356CD"/>
    <w:rsid w:val="00236039"/>
    <w:rsid w:val="00236618"/>
    <w:rsid w:val="002379BD"/>
    <w:rsid w:val="002419B1"/>
    <w:rsid w:val="00241E09"/>
    <w:rsid w:val="002432B3"/>
    <w:rsid w:val="00243359"/>
    <w:rsid w:val="00243DFB"/>
    <w:rsid w:val="00244368"/>
    <w:rsid w:val="00245B94"/>
    <w:rsid w:val="00246249"/>
    <w:rsid w:val="00250505"/>
    <w:rsid w:val="00250A14"/>
    <w:rsid w:val="0025111A"/>
    <w:rsid w:val="0025111F"/>
    <w:rsid w:val="0025126D"/>
    <w:rsid w:val="002513D8"/>
    <w:rsid w:val="00251A4E"/>
    <w:rsid w:val="0025289B"/>
    <w:rsid w:val="002529E3"/>
    <w:rsid w:val="0025372B"/>
    <w:rsid w:val="002539DC"/>
    <w:rsid w:val="00254073"/>
    <w:rsid w:val="00255EB1"/>
    <w:rsid w:val="00255FD6"/>
    <w:rsid w:val="00256644"/>
    <w:rsid w:val="00257928"/>
    <w:rsid w:val="0026070A"/>
    <w:rsid w:val="002608B6"/>
    <w:rsid w:val="00261067"/>
    <w:rsid w:val="00262341"/>
    <w:rsid w:val="00262E98"/>
    <w:rsid w:val="00263BD9"/>
    <w:rsid w:val="00263EDD"/>
    <w:rsid w:val="00264C54"/>
    <w:rsid w:val="00265B04"/>
    <w:rsid w:val="00265C6D"/>
    <w:rsid w:val="00265EF4"/>
    <w:rsid w:val="00266873"/>
    <w:rsid w:val="0027062C"/>
    <w:rsid w:val="00270B48"/>
    <w:rsid w:val="00270B90"/>
    <w:rsid w:val="002713D4"/>
    <w:rsid w:val="00271838"/>
    <w:rsid w:val="00272DEF"/>
    <w:rsid w:val="00274187"/>
    <w:rsid w:val="002756D3"/>
    <w:rsid w:val="00276D07"/>
    <w:rsid w:val="00276E53"/>
    <w:rsid w:val="00277285"/>
    <w:rsid w:val="002779BF"/>
    <w:rsid w:val="00280533"/>
    <w:rsid w:val="0028214D"/>
    <w:rsid w:val="00282F29"/>
    <w:rsid w:val="00283DB6"/>
    <w:rsid w:val="00283FDC"/>
    <w:rsid w:val="0028445F"/>
    <w:rsid w:val="00284694"/>
    <w:rsid w:val="0028790A"/>
    <w:rsid w:val="00290271"/>
    <w:rsid w:val="00290344"/>
    <w:rsid w:val="00290DF2"/>
    <w:rsid w:val="002938B8"/>
    <w:rsid w:val="00296F96"/>
    <w:rsid w:val="002A14F4"/>
    <w:rsid w:val="002A15A6"/>
    <w:rsid w:val="002A395D"/>
    <w:rsid w:val="002A4BDC"/>
    <w:rsid w:val="002A528B"/>
    <w:rsid w:val="002A566E"/>
    <w:rsid w:val="002A5AEF"/>
    <w:rsid w:val="002A5DEC"/>
    <w:rsid w:val="002A6468"/>
    <w:rsid w:val="002A679C"/>
    <w:rsid w:val="002A7F42"/>
    <w:rsid w:val="002B293B"/>
    <w:rsid w:val="002B41CA"/>
    <w:rsid w:val="002B7EB4"/>
    <w:rsid w:val="002C0E0C"/>
    <w:rsid w:val="002C1301"/>
    <w:rsid w:val="002C19F5"/>
    <w:rsid w:val="002C1A8C"/>
    <w:rsid w:val="002C3260"/>
    <w:rsid w:val="002C3BB3"/>
    <w:rsid w:val="002C4E80"/>
    <w:rsid w:val="002C6BD7"/>
    <w:rsid w:val="002D0074"/>
    <w:rsid w:val="002D0223"/>
    <w:rsid w:val="002D0293"/>
    <w:rsid w:val="002D040A"/>
    <w:rsid w:val="002D0495"/>
    <w:rsid w:val="002D079F"/>
    <w:rsid w:val="002D3169"/>
    <w:rsid w:val="002D4ED7"/>
    <w:rsid w:val="002D5C2F"/>
    <w:rsid w:val="002D5D9E"/>
    <w:rsid w:val="002D74DB"/>
    <w:rsid w:val="002E06D2"/>
    <w:rsid w:val="002E122F"/>
    <w:rsid w:val="002E1233"/>
    <w:rsid w:val="002E52D8"/>
    <w:rsid w:val="002E5F53"/>
    <w:rsid w:val="002E6BB1"/>
    <w:rsid w:val="002E6C32"/>
    <w:rsid w:val="002E6C77"/>
    <w:rsid w:val="002E6EE0"/>
    <w:rsid w:val="002F1FA8"/>
    <w:rsid w:val="002F2405"/>
    <w:rsid w:val="002F26E0"/>
    <w:rsid w:val="002F2903"/>
    <w:rsid w:val="002F4F86"/>
    <w:rsid w:val="002F61C8"/>
    <w:rsid w:val="002F63E7"/>
    <w:rsid w:val="002F7610"/>
    <w:rsid w:val="002F782E"/>
    <w:rsid w:val="0030066C"/>
    <w:rsid w:val="00300A08"/>
    <w:rsid w:val="0030145A"/>
    <w:rsid w:val="003019AD"/>
    <w:rsid w:val="003033B5"/>
    <w:rsid w:val="00303496"/>
    <w:rsid w:val="00303607"/>
    <w:rsid w:val="00303675"/>
    <w:rsid w:val="00304A5F"/>
    <w:rsid w:val="00306408"/>
    <w:rsid w:val="00307D0F"/>
    <w:rsid w:val="00310570"/>
    <w:rsid w:val="0031445E"/>
    <w:rsid w:val="003201F3"/>
    <w:rsid w:val="00320259"/>
    <w:rsid w:val="00323696"/>
    <w:rsid w:val="00325637"/>
    <w:rsid w:val="00326F30"/>
    <w:rsid w:val="00327D49"/>
    <w:rsid w:val="003301EF"/>
    <w:rsid w:val="00330A9A"/>
    <w:rsid w:val="0033150C"/>
    <w:rsid w:val="00332299"/>
    <w:rsid w:val="00332B18"/>
    <w:rsid w:val="00334133"/>
    <w:rsid w:val="003345A2"/>
    <w:rsid w:val="00334991"/>
    <w:rsid w:val="00334CBC"/>
    <w:rsid w:val="00334D05"/>
    <w:rsid w:val="00336338"/>
    <w:rsid w:val="00340184"/>
    <w:rsid w:val="003421D8"/>
    <w:rsid w:val="003446D4"/>
    <w:rsid w:val="0034473F"/>
    <w:rsid w:val="00345ABF"/>
    <w:rsid w:val="00345C23"/>
    <w:rsid w:val="00346D7B"/>
    <w:rsid w:val="0034747C"/>
    <w:rsid w:val="00350114"/>
    <w:rsid w:val="003505E2"/>
    <w:rsid w:val="00352420"/>
    <w:rsid w:val="00356915"/>
    <w:rsid w:val="00357A5A"/>
    <w:rsid w:val="00357A97"/>
    <w:rsid w:val="0036137E"/>
    <w:rsid w:val="00365488"/>
    <w:rsid w:val="00366E7C"/>
    <w:rsid w:val="00367153"/>
    <w:rsid w:val="00367BE7"/>
    <w:rsid w:val="003703EE"/>
    <w:rsid w:val="00370C65"/>
    <w:rsid w:val="00370FE7"/>
    <w:rsid w:val="00371A12"/>
    <w:rsid w:val="00374252"/>
    <w:rsid w:val="00374B37"/>
    <w:rsid w:val="00375DA3"/>
    <w:rsid w:val="00377640"/>
    <w:rsid w:val="00377AFD"/>
    <w:rsid w:val="003806DA"/>
    <w:rsid w:val="00382A5D"/>
    <w:rsid w:val="00383769"/>
    <w:rsid w:val="003842C1"/>
    <w:rsid w:val="00385818"/>
    <w:rsid w:val="00385996"/>
    <w:rsid w:val="00386990"/>
    <w:rsid w:val="00386C75"/>
    <w:rsid w:val="00390E6F"/>
    <w:rsid w:val="0039322C"/>
    <w:rsid w:val="003933F0"/>
    <w:rsid w:val="00394FC5"/>
    <w:rsid w:val="00395582"/>
    <w:rsid w:val="00395913"/>
    <w:rsid w:val="00395A9E"/>
    <w:rsid w:val="00395B20"/>
    <w:rsid w:val="00397A8D"/>
    <w:rsid w:val="003A10BF"/>
    <w:rsid w:val="003A1E97"/>
    <w:rsid w:val="003A2581"/>
    <w:rsid w:val="003A2C1A"/>
    <w:rsid w:val="003A347E"/>
    <w:rsid w:val="003A4688"/>
    <w:rsid w:val="003A5CE2"/>
    <w:rsid w:val="003A6291"/>
    <w:rsid w:val="003B1C7D"/>
    <w:rsid w:val="003B28D2"/>
    <w:rsid w:val="003B35F6"/>
    <w:rsid w:val="003B61C8"/>
    <w:rsid w:val="003B6667"/>
    <w:rsid w:val="003B67F9"/>
    <w:rsid w:val="003B6ADF"/>
    <w:rsid w:val="003B7565"/>
    <w:rsid w:val="003B7FF0"/>
    <w:rsid w:val="003C0BEF"/>
    <w:rsid w:val="003C1775"/>
    <w:rsid w:val="003C1E77"/>
    <w:rsid w:val="003C2BF0"/>
    <w:rsid w:val="003C376E"/>
    <w:rsid w:val="003C37C9"/>
    <w:rsid w:val="003C4E2C"/>
    <w:rsid w:val="003C5384"/>
    <w:rsid w:val="003C6B8E"/>
    <w:rsid w:val="003C74CB"/>
    <w:rsid w:val="003C74D1"/>
    <w:rsid w:val="003C75AC"/>
    <w:rsid w:val="003C794C"/>
    <w:rsid w:val="003D0CB4"/>
    <w:rsid w:val="003D1B1B"/>
    <w:rsid w:val="003D2960"/>
    <w:rsid w:val="003D4DF8"/>
    <w:rsid w:val="003D52EB"/>
    <w:rsid w:val="003D5342"/>
    <w:rsid w:val="003D5DC7"/>
    <w:rsid w:val="003D62C9"/>
    <w:rsid w:val="003D6DB8"/>
    <w:rsid w:val="003E035E"/>
    <w:rsid w:val="003E0572"/>
    <w:rsid w:val="003E1085"/>
    <w:rsid w:val="003E1417"/>
    <w:rsid w:val="003E1949"/>
    <w:rsid w:val="003E2885"/>
    <w:rsid w:val="003E4242"/>
    <w:rsid w:val="003E483C"/>
    <w:rsid w:val="003E54AA"/>
    <w:rsid w:val="003E58E6"/>
    <w:rsid w:val="003E6CF4"/>
    <w:rsid w:val="003E71C6"/>
    <w:rsid w:val="003E7314"/>
    <w:rsid w:val="003F0929"/>
    <w:rsid w:val="003F0F68"/>
    <w:rsid w:val="003F182F"/>
    <w:rsid w:val="003F2308"/>
    <w:rsid w:val="003F28FE"/>
    <w:rsid w:val="003F30BC"/>
    <w:rsid w:val="003F418E"/>
    <w:rsid w:val="003F4640"/>
    <w:rsid w:val="003F6429"/>
    <w:rsid w:val="003F71F3"/>
    <w:rsid w:val="00400132"/>
    <w:rsid w:val="0040078B"/>
    <w:rsid w:val="00402E46"/>
    <w:rsid w:val="00404DD1"/>
    <w:rsid w:val="00405B4A"/>
    <w:rsid w:val="00406C60"/>
    <w:rsid w:val="0040704B"/>
    <w:rsid w:val="004101AD"/>
    <w:rsid w:val="004104B2"/>
    <w:rsid w:val="0041107D"/>
    <w:rsid w:val="004113D8"/>
    <w:rsid w:val="0041280C"/>
    <w:rsid w:val="00413A55"/>
    <w:rsid w:val="00414F2F"/>
    <w:rsid w:val="00415F9B"/>
    <w:rsid w:val="00417AFC"/>
    <w:rsid w:val="00420B02"/>
    <w:rsid w:val="00422327"/>
    <w:rsid w:val="0042295B"/>
    <w:rsid w:val="00422E04"/>
    <w:rsid w:val="00423B35"/>
    <w:rsid w:val="004242AA"/>
    <w:rsid w:val="00426C19"/>
    <w:rsid w:val="00427AC0"/>
    <w:rsid w:val="004310D0"/>
    <w:rsid w:val="004356D5"/>
    <w:rsid w:val="00435FED"/>
    <w:rsid w:val="00436A28"/>
    <w:rsid w:val="00436FA7"/>
    <w:rsid w:val="00437EDD"/>
    <w:rsid w:val="00437F91"/>
    <w:rsid w:val="0044000C"/>
    <w:rsid w:val="00440525"/>
    <w:rsid w:val="00442290"/>
    <w:rsid w:val="00442AF3"/>
    <w:rsid w:val="00444C93"/>
    <w:rsid w:val="0044614A"/>
    <w:rsid w:val="00446C44"/>
    <w:rsid w:val="00446F87"/>
    <w:rsid w:val="00447C6F"/>
    <w:rsid w:val="004503A2"/>
    <w:rsid w:val="004505FF"/>
    <w:rsid w:val="004522CD"/>
    <w:rsid w:val="0045535E"/>
    <w:rsid w:val="00455AF1"/>
    <w:rsid w:val="004575D8"/>
    <w:rsid w:val="004609CD"/>
    <w:rsid w:val="00460A43"/>
    <w:rsid w:val="004610F2"/>
    <w:rsid w:val="00461E82"/>
    <w:rsid w:val="00461F78"/>
    <w:rsid w:val="00462424"/>
    <w:rsid w:val="00462620"/>
    <w:rsid w:val="00462A2A"/>
    <w:rsid w:val="00463082"/>
    <w:rsid w:val="00463499"/>
    <w:rsid w:val="00464548"/>
    <w:rsid w:val="004668C6"/>
    <w:rsid w:val="0046768E"/>
    <w:rsid w:val="00467B60"/>
    <w:rsid w:val="00471D97"/>
    <w:rsid w:val="00472D8B"/>
    <w:rsid w:val="00472E3B"/>
    <w:rsid w:val="00473558"/>
    <w:rsid w:val="00473EE9"/>
    <w:rsid w:val="00474029"/>
    <w:rsid w:val="00476343"/>
    <w:rsid w:val="00476809"/>
    <w:rsid w:val="00477CC4"/>
    <w:rsid w:val="0048103E"/>
    <w:rsid w:val="0048578E"/>
    <w:rsid w:val="00486392"/>
    <w:rsid w:val="00487136"/>
    <w:rsid w:val="004878E8"/>
    <w:rsid w:val="00487A56"/>
    <w:rsid w:val="00487F54"/>
    <w:rsid w:val="00490784"/>
    <w:rsid w:val="0049106E"/>
    <w:rsid w:val="004913AF"/>
    <w:rsid w:val="00491E69"/>
    <w:rsid w:val="004923D9"/>
    <w:rsid w:val="00492582"/>
    <w:rsid w:val="004A0EB9"/>
    <w:rsid w:val="004A3F78"/>
    <w:rsid w:val="004A4644"/>
    <w:rsid w:val="004A4910"/>
    <w:rsid w:val="004A522B"/>
    <w:rsid w:val="004A57EC"/>
    <w:rsid w:val="004A6038"/>
    <w:rsid w:val="004A6715"/>
    <w:rsid w:val="004A76E5"/>
    <w:rsid w:val="004B1537"/>
    <w:rsid w:val="004B2494"/>
    <w:rsid w:val="004B2D28"/>
    <w:rsid w:val="004B2DC9"/>
    <w:rsid w:val="004B3B86"/>
    <w:rsid w:val="004B3D64"/>
    <w:rsid w:val="004B4641"/>
    <w:rsid w:val="004B5009"/>
    <w:rsid w:val="004B55CC"/>
    <w:rsid w:val="004B6F23"/>
    <w:rsid w:val="004C00C2"/>
    <w:rsid w:val="004C04CA"/>
    <w:rsid w:val="004C2DE6"/>
    <w:rsid w:val="004C32D9"/>
    <w:rsid w:val="004C64DE"/>
    <w:rsid w:val="004D01A0"/>
    <w:rsid w:val="004D0502"/>
    <w:rsid w:val="004D0518"/>
    <w:rsid w:val="004D2406"/>
    <w:rsid w:val="004D3368"/>
    <w:rsid w:val="004D39E0"/>
    <w:rsid w:val="004E1E5C"/>
    <w:rsid w:val="004E22C6"/>
    <w:rsid w:val="004E3C3C"/>
    <w:rsid w:val="004E450D"/>
    <w:rsid w:val="004E5173"/>
    <w:rsid w:val="004E6874"/>
    <w:rsid w:val="004F079A"/>
    <w:rsid w:val="004F1445"/>
    <w:rsid w:val="004F2BE6"/>
    <w:rsid w:val="004F325E"/>
    <w:rsid w:val="004F3D7D"/>
    <w:rsid w:val="004F408D"/>
    <w:rsid w:val="004F4B03"/>
    <w:rsid w:val="004F4E8F"/>
    <w:rsid w:val="004F4FFA"/>
    <w:rsid w:val="004F58F0"/>
    <w:rsid w:val="004F66C6"/>
    <w:rsid w:val="00500713"/>
    <w:rsid w:val="00500A8F"/>
    <w:rsid w:val="005013E3"/>
    <w:rsid w:val="005028FC"/>
    <w:rsid w:val="00502B09"/>
    <w:rsid w:val="0050358A"/>
    <w:rsid w:val="00503B3B"/>
    <w:rsid w:val="00503E06"/>
    <w:rsid w:val="00503EE9"/>
    <w:rsid w:val="0050412C"/>
    <w:rsid w:val="00504A93"/>
    <w:rsid w:val="00506553"/>
    <w:rsid w:val="0050691F"/>
    <w:rsid w:val="00507FCC"/>
    <w:rsid w:val="0051089D"/>
    <w:rsid w:val="00510A51"/>
    <w:rsid w:val="00512292"/>
    <w:rsid w:val="00512A9D"/>
    <w:rsid w:val="00513E04"/>
    <w:rsid w:val="00514E65"/>
    <w:rsid w:val="00515220"/>
    <w:rsid w:val="00516F2D"/>
    <w:rsid w:val="0051722E"/>
    <w:rsid w:val="00517669"/>
    <w:rsid w:val="00517ABD"/>
    <w:rsid w:val="00521960"/>
    <w:rsid w:val="00522501"/>
    <w:rsid w:val="00522ECD"/>
    <w:rsid w:val="00523946"/>
    <w:rsid w:val="00525243"/>
    <w:rsid w:val="005252A7"/>
    <w:rsid w:val="0052631F"/>
    <w:rsid w:val="00532DA0"/>
    <w:rsid w:val="00532E2D"/>
    <w:rsid w:val="005334CD"/>
    <w:rsid w:val="005335D5"/>
    <w:rsid w:val="00535C7C"/>
    <w:rsid w:val="00540F54"/>
    <w:rsid w:val="00542A46"/>
    <w:rsid w:val="00543239"/>
    <w:rsid w:val="00543B8E"/>
    <w:rsid w:val="00544153"/>
    <w:rsid w:val="005453E2"/>
    <w:rsid w:val="0054584F"/>
    <w:rsid w:val="005462C5"/>
    <w:rsid w:val="005462CC"/>
    <w:rsid w:val="00546A4E"/>
    <w:rsid w:val="005477BB"/>
    <w:rsid w:val="0055130E"/>
    <w:rsid w:val="0055225E"/>
    <w:rsid w:val="00552E97"/>
    <w:rsid w:val="00553CDD"/>
    <w:rsid w:val="00554D06"/>
    <w:rsid w:val="00555786"/>
    <w:rsid w:val="00556627"/>
    <w:rsid w:val="00560446"/>
    <w:rsid w:val="00560E56"/>
    <w:rsid w:val="0056236A"/>
    <w:rsid w:val="00562478"/>
    <w:rsid w:val="005627DE"/>
    <w:rsid w:val="00563901"/>
    <w:rsid w:val="00564F0C"/>
    <w:rsid w:val="005663F2"/>
    <w:rsid w:val="005664BE"/>
    <w:rsid w:val="0056683B"/>
    <w:rsid w:val="00566DB8"/>
    <w:rsid w:val="00567C69"/>
    <w:rsid w:val="00570BA8"/>
    <w:rsid w:val="00573245"/>
    <w:rsid w:val="00573697"/>
    <w:rsid w:val="00573A34"/>
    <w:rsid w:val="00573EAC"/>
    <w:rsid w:val="00575093"/>
    <w:rsid w:val="0057578D"/>
    <w:rsid w:val="00575FF9"/>
    <w:rsid w:val="005771E2"/>
    <w:rsid w:val="0057731D"/>
    <w:rsid w:val="00580264"/>
    <w:rsid w:val="005809CF"/>
    <w:rsid w:val="00580F8D"/>
    <w:rsid w:val="00581B39"/>
    <w:rsid w:val="005823C7"/>
    <w:rsid w:val="00583732"/>
    <w:rsid w:val="005845E7"/>
    <w:rsid w:val="005869FE"/>
    <w:rsid w:val="00587058"/>
    <w:rsid w:val="00587314"/>
    <w:rsid w:val="00587657"/>
    <w:rsid w:val="00591C21"/>
    <w:rsid w:val="0059488B"/>
    <w:rsid w:val="00594BD9"/>
    <w:rsid w:val="00594EE0"/>
    <w:rsid w:val="005954CC"/>
    <w:rsid w:val="0059574D"/>
    <w:rsid w:val="00595D4D"/>
    <w:rsid w:val="005A22C6"/>
    <w:rsid w:val="005A2512"/>
    <w:rsid w:val="005A2A9B"/>
    <w:rsid w:val="005A3461"/>
    <w:rsid w:val="005A34F1"/>
    <w:rsid w:val="005A4265"/>
    <w:rsid w:val="005A4770"/>
    <w:rsid w:val="005A53F9"/>
    <w:rsid w:val="005A5821"/>
    <w:rsid w:val="005A71F7"/>
    <w:rsid w:val="005A77BB"/>
    <w:rsid w:val="005A7E3B"/>
    <w:rsid w:val="005B06DF"/>
    <w:rsid w:val="005B15CF"/>
    <w:rsid w:val="005B20C4"/>
    <w:rsid w:val="005B2873"/>
    <w:rsid w:val="005B365C"/>
    <w:rsid w:val="005B3769"/>
    <w:rsid w:val="005B39BF"/>
    <w:rsid w:val="005B3C2D"/>
    <w:rsid w:val="005B3C50"/>
    <w:rsid w:val="005B3EB8"/>
    <w:rsid w:val="005B3F7D"/>
    <w:rsid w:val="005B47A9"/>
    <w:rsid w:val="005B6D57"/>
    <w:rsid w:val="005B7277"/>
    <w:rsid w:val="005B7B1A"/>
    <w:rsid w:val="005C0245"/>
    <w:rsid w:val="005C0BEA"/>
    <w:rsid w:val="005C2EC6"/>
    <w:rsid w:val="005C427D"/>
    <w:rsid w:val="005C5C48"/>
    <w:rsid w:val="005C64A7"/>
    <w:rsid w:val="005C6A86"/>
    <w:rsid w:val="005D090C"/>
    <w:rsid w:val="005D1FFE"/>
    <w:rsid w:val="005D2C22"/>
    <w:rsid w:val="005D2DE9"/>
    <w:rsid w:val="005D2F04"/>
    <w:rsid w:val="005D3217"/>
    <w:rsid w:val="005E0C70"/>
    <w:rsid w:val="005E1B98"/>
    <w:rsid w:val="005E1C03"/>
    <w:rsid w:val="005E2494"/>
    <w:rsid w:val="005E378B"/>
    <w:rsid w:val="005E3B2E"/>
    <w:rsid w:val="005E479C"/>
    <w:rsid w:val="005E5507"/>
    <w:rsid w:val="005E5E5A"/>
    <w:rsid w:val="005E6D2C"/>
    <w:rsid w:val="005E6DC6"/>
    <w:rsid w:val="005F0031"/>
    <w:rsid w:val="005F027A"/>
    <w:rsid w:val="005F0C0A"/>
    <w:rsid w:val="005F0D25"/>
    <w:rsid w:val="005F0DC4"/>
    <w:rsid w:val="005F255A"/>
    <w:rsid w:val="005F319A"/>
    <w:rsid w:val="005F31CE"/>
    <w:rsid w:val="005F4642"/>
    <w:rsid w:val="005F6F75"/>
    <w:rsid w:val="005F7525"/>
    <w:rsid w:val="00600922"/>
    <w:rsid w:val="0060152F"/>
    <w:rsid w:val="006016F1"/>
    <w:rsid w:val="006018AD"/>
    <w:rsid w:val="00601C62"/>
    <w:rsid w:val="00601D85"/>
    <w:rsid w:val="00602B4F"/>
    <w:rsid w:val="00603060"/>
    <w:rsid w:val="00603358"/>
    <w:rsid w:val="00604C55"/>
    <w:rsid w:val="0060645B"/>
    <w:rsid w:val="00606F9A"/>
    <w:rsid w:val="0060741E"/>
    <w:rsid w:val="00607ED9"/>
    <w:rsid w:val="0061262C"/>
    <w:rsid w:val="00612649"/>
    <w:rsid w:val="006126F5"/>
    <w:rsid w:val="00613A1E"/>
    <w:rsid w:val="006144AD"/>
    <w:rsid w:val="00615A7F"/>
    <w:rsid w:val="00616AD1"/>
    <w:rsid w:val="00620345"/>
    <w:rsid w:val="00620C56"/>
    <w:rsid w:val="00620CE7"/>
    <w:rsid w:val="006214FE"/>
    <w:rsid w:val="0062188F"/>
    <w:rsid w:val="00622356"/>
    <w:rsid w:val="006226B4"/>
    <w:rsid w:val="00623BF9"/>
    <w:rsid w:val="006241E8"/>
    <w:rsid w:val="00624722"/>
    <w:rsid w:val="00625537"/>
    <w:rsid w:val="00625F86"/>
    <w:rsid w:val="00626397"/>
    <w:rsid w:val="006274CC"/>
    <w:rsid w:val="00627F2C"/>
    <w:rsid w:val="0063306C"/>
    <w:rsid w:val="00634457"/>
    <w:rsid w:val="006366BC"/>
    <w:rsid w:val="00636F41"/>
    <w:rsid w:val="00637BCF"/>
    <w:rsid w:val="00640027"/>
    <w:rsid w:val="00640601"/>
    <w:rsid w:val="006407A2"/>
    <w:rsid w:val="00640C23"/>
    <w:rsid w:val="00640E56"/>
    <w:rsid w:val="00641FB7"/>
    <w:rsid w:val="006439EF"/>
    <w:rsid w:val="006448F6"/>
    <w:rsid w:val="00644FFA"/>
    <w:rsid w:val="00645B18"/>
    <w:rsid w:val="006466DA"/>
    <w:rsid w:val="006522E0"/>
    <w:rsid w:val="006523D2"/>
    <w:rsid w:val="00653A6B"/>
    <w:rsid w:val="00654A12"/>
    <w:rsid w:val="00654CFD"/>
    <w:rsid w:val="00655063"/>
    <w:rsid w:val="00655310"/>
    <w:rsid w:val="006559BB"/>
    <w:rsid w:val="00655BDE"/>
    <w:rsid w:val="00655E0E"/>
    <w:rsid w:val="00657FB5"/>
    <w:rsid w:val="00660707"/>
    <w:rsid w:val="00661384"/>
    <w:rsid w:val="00661EA3"/>
    <w:rsid w:val="006622D7"/>
    <w:rsid w:val="00663015"/>
    <w:rsid w:val="00664A99"/>
    <w:rsid w:val="0066627B"/>
    <w:rsid w:val="00666865"/>
    <w:rsid w:val="00666CA2"/>
    <w:rsid w:val="00667103"/>
    <w:rsid w:val="00667AF4"/>
    <w:rsid w:val="00667D9F"/>
    <w:rsid w:val="00670EC6"/>
    <w:rsid w:val="00671290"/>
    <w:rsid w:val="0067186D"/>
    <w:rsid w:val="00672D6B"/>
    <w:rsid w:val="00673FF6"/>
    <w:rsid w:val="00674B77"/>
    <w:rsid w:val="0067511C"/>
    <w:rsid w:val="006763B6"/>
    <w:rsid w:val="0067713C"/>
    <w:rsid w:val="00677146"/>
    <w:rsid w:val="00677563"/>
    <w:rsid w:val="00677C16"/>
    <w:rsid w:val="006808B1"/>
    <w:rsid w:val="00680E27"/>
    <w:rsid w:val="00682FC8"/>
    <w:rsid w:val="006849F8"/>
    <w:rsid w:val="00685BEA"/>
    <w:rsid w:val="00685C2B"/>
    <w:rsid w:val="00686503"/>
    <w:rsid w:val="006865A9"/>
    <w:rsid w:val="00686BDA"/>
    <w:rsid w:val="00691CD2"/>
    <w:rsid w:val="0069271C"/>
    <w:rsid w:val="00692823"/>
    <w:rsid w:val="00692E14"/>
    <w:rsid w:val="006960C1"/>
    <w:rsid w:val="00696DB5"/>
    <w:rsid w:val="0069745F"/>
    <w:rsid w:val="006977A9"/>
    <w:rsid w:val="006A1E40"/>
    <w:rsid w:val="006A42AA"/>
    <w:rsid w:val="006A4553"/>
    <w:rsid w:val="006A5BE2"/>
    <w:rsid w:val="006A5DF8"/>
    <w:rsid w:val="006A69F8"/>
    <w:rsid w:val="006A72AC"/>
    <w:rsid w:val="006A7DA8"/>
    <w:rsid w:val="006B2FC7"/>
    <w:rsid w:val="006B44EB"/>
    <w:rsid w:val="006B6045"/>
    <w:rsid w:val="006B7DE0"/>
    <w:rsid w:val="006B7E52"/>
    <w:rsid w:val="006C0EE2"/>
    <w:rsid w:val="006C1BB8"/>
    <w:rsid w:val="006C1DBF"/>
    <w:rsid w:val="006C532B"/>
    <w:rsid w:val="006C7617"/>
    <w:rsid w:val="006D0307"/>
    <w:rsid w:val="006D03ED"/>
    <w:rsid w:val="006D063A"/>
    <w:rsid w:val="006D10CD"/>
    <w:rsid w:val="006D11D4"/>
    <w:rsid w:val="006D36B2"/>
    <w:rsid w:val="006D5062"/>
    <w:rsid w:val="006D5FDD"/>
    <w:rsid w:val="006D6C1A"/>
    <w:rsid w:val="006D7C77"/>
    <w:rsid w:val="006D7D37"/>
    <w:rsid w:val="006E1697"/>
    <w:rsid w:val="006E31AF"/>
    <w:rsid w:val="006E6395"/>
    <w:rsid w:val="006E6887"/>
    <w:rsid w:val="006E7B7E"/>
    <w:rsid w:val="006F0377"/>
    <w:rsid w:val="006F2308"/>
    <w:rsid w:val="006F30F6"/>
    <w:rsid w:val="006F3478"/>
    <w:rsid w:val="006F36AA"/>
    <w:rsid w:val="006F4200"/>
    <w:rsid w:val="006F5C15"/>
    <w:rsid w:val="006F6205"/>
    <w:rsid w:val="006F7C6C"/>
    <w:rsid w:val="007003CF"/>
    <w:rsid w:val="00700DB6"/>
    <w:rsid w:val="007014A5"/>
    <w:rsid w:val="00703375"/>
    <w:rsid w:val="00703C07"/>
    <w:rsid w:val="0070496D"/>
    <w:rsid w:val="00704B57"/>
    <w:rsid w:val="0070536C"/>
    <w:rsid w:val="00705EDB"/>
    <w:rsid w:val="007060B3"/>
    <w:rsid w:val="00707D3E"/>
    <w:rsid w:val="007111EB"/>
    <w:rsid w:val="00713292"/>
    <w:rsid w:val="00715A36"/>
    <w:rsid w:val="00717F88"/>
    <w:rsid w:val="007207E7"/>
    <w:rsid w:val="00721E3C"/>
    <w:rsid w:val="0072238A"/>
    <w:rsid w:val="00722845"/>
    <w:rsid w:val="007240FB"/>
    <w:rsid w:val="007244C3"/>
    <w:rsid w:val="007247F2"/>
    <w:rsid w:val="007252EE"/>
    <w:rsid w:val="0072661C"/>
    <w:rsid w:val="00727D98"/>
    <w:rsid w:val="00730605"/>
    <w:rsid w:val="007342D8"/>
    <w:rsid w:val="0073552E"/>
    <w:rsid w:val="007356B0"/>
    <w:rsid w:val="00735E09"/>
    <w:rsid w:val="0073697E"/>
    <w:rsid w:val="00736CB0"/>
    <w:rsid w:val="00737675"/>
    <w:rsid w:val="007378D6"/>
    <w:rsid w:val="00740B89"/>
    <w:rsid w:val="007415AE"/>
    <w:rsid w:val="00744B45"/>
    <w:rsid w:val="00745C7D"/>
    <w:rsid w:val="0074704E"/>
    <w:rsid w:val="00750935"/>
    <w:rsid w:val="00750ED1"/>
    <w:rsid w:val="00751DAA"/>
    <w:rsid w:val="00752FF0"/>
    <w:rsid w:val="00754E76"/>
    <w:rsid w:val="007554F7"/>
    <w:rsid w:val="00756893"/>
    <w:rsid w:val="00756E86"/>
    <w:rsid w:val="00757414"/>
    <w:rsid w:val="007578BB"/>
    <w:rsid w:val="00760166"/>
    <w:rsid w:val="0076289D"/>
    <w:rsid w:val="00763A12"/>
    <w:rsid w:val="00765266"/>
    <w:rsid w:val="0076605C"/>
    <w:rsid w:val="00767F55"/>
    <w:rsid w:val="00770710"/>
    <w:rsid w:val="00770FD2"/>
    <w:rsid w:val="007713F6"/>
    <w:rsid w:val="00771A3B"/>
    <w:rsid w:val="00772A7B"/>
    <w:rsid w:val="007748C0"/>
    <w:rsid w:val="00775085"/>
    <w:rsid w:val="00777D8D"/>
    <w:rsid w:val="00780644"/>
    <w:rsid w:val="00781C2F"/>
    <w:rsid w:val="00782049"/>
    <w:rsid w:val="007828DB"/>
    <w:rsid w:val="00782C3A"/>
    <w:rsid w:val="00784098"/>
    <w:rsid w:val="007855E3"/>
    <w:rsid w:val="00786918"/>
    <w:rsid w:val="00787FC8"/>
    <w:rsid w:val="007905F7"/>
    <w:rsid w:val="007910C8"/>
    <w:rsid w:val="007920FE"/>
    <w:rsid w:val="00794AEB"/>
    <w:rsid w:val="007963B0"/>
    <w:rsid w:val="007967F6"/>
    <w:rsid w:val="00797E2D"/>
    <w:rsid w:val="007A1ACC"/>
    <w:rsid w:val="007A2275"/>
    <w:rsid w:val="007A5A6F"/>
    <w:rsid w:val="007A7415"/>
    <w:rsid w:val="007B3C85"/>
    <w:rsid w:val="007B4050"/>
    <w:rsid w:val="007B40EA"/>
    <w:rsid w:val="007B44D1"/>
    <w:rsid w:val="007B469E"/>
    <w:rsid w:val="007B4ACC"/>
    <w:rsid w:val="007B61C0"/>
    <w:rsid w:val="007B7DFC"/>
    <w:rsid w:val="007B7FA8"/>
    <w:rsid w:val="007C3B0D"/>
    <w:rsid w:val="007C5712"/>
    <w:rsid w:val="007C73C5"/>
    <w:rsid w:val="007C74F7"/>
    <w:rsid w:val="007D1792"/>
    <w:rsid w:val="007D3342"/>
    <w:rsid w:val="007D37AD"/>
    <w:rsid w:val="007D3989"/>
    <w:rsid w:val="007D3CC0"/>
    <w:rsid w:val="007D3E39"/>
    <w:rsid w:val="007D4964"/>
    <w:rsid w:val="007D5D5B"/>
    <w:rsid w:val="007D6594"/>
    <w:rsid w:val="007E1AE7"/>
    <w:rsid w:val="007E1DD5"/>
    <w:rsid w:val="007E39EC"/>
    <w:rsid w:val="007E6591"/>
    <w:rsid w:val="007E65CC"/>
    <w:rsid w:val="007E72AA"/>
    <w:rsid w:val="007F0419"/>
    <w:rsid w:val="007F0DC4"/>
    <w:rsid w:val="007F0E49"/>
    <w:rsid w:val="007F1BB4"/>
    <w:rsid w:val="007F1C26"/>
    <w:rsid w:val="007F2315"/>
    <w:rsid w:val="007F4058"/>
    <w:rsid w:val="007F5FDC"/>
    <w:rsid w:val="007F6178"/>
    <w:rsid w:val="007F643E"/>
    <w:rsid w:val="00800457"/>
    <w:rsid w:val="00800628"/>
    <w:rsid w:val="00800F85"/>
    <w:rsid w:val="00801677"/>
    <w:rsid w:val="00801AEB"/>
    <w:rsid w:val="00804DBC"/>
    <w:rsid w:val="0080534B"/>
    <w:rsid w:val="008073D3"/>
    <w:rsid w:val="00810AB6"/>
    <w:rsid w:val="0081166E"/>
    <w:rsid w:val="00811A4C"/>
    <w:rsid w:val="00814526"/>
    <w:rsid w:val="008150A7"/>
    <w:rsid w:val="00815850"/>
    <w:rsid w:val="00816AB0"/>
    <w:rsid w:val="00820293"/>
    <w:rsid w:val="00820A7E"/>
    <w:rsid w:val="00821356"/>
    <w:rsid w:val="0082196B"/>
    <w:rsid w:val="00822A9A"/>
    <w:rsid w:val="00822ADA"/>
    <w:rsid w:val="00823110"/>
    <w:rsid w:val="008245DB"/>
    <w:rsid w:val="008248A6"/>
    <w:rsid w:val="00825281"/>
    <w:rsid w:val="00825B87"/>
    <w:rsid w:val="00826FB5"/>
    <w:rsid w:val="008271B8"/>
    <w:rsid w:val="008310A2"/>
    <w:rsid w:val="00832634"/>
    <w:rsid w:val="00832829"/>
    <w:rsid w:val="00832911"/>
    <w:rsid w:val="00832AC0"/>
    <w:rsid w:val="008337C5"/>
    <w:rsid w:val="00833884"/>
    <w:rsid w:val="00834698"/>
    <w:rsid w:val="008347B7"/>
    <w:rsid w:val="0083543F"/>
    <w:rsid w:val="00836894"/>
    <w:rsid w:val="00836EF4"/>
    <w:rsid w:val="008372B6"/>
    <w:rsid w:val="00837386"/>
    <w:rsid w:val="0084051E"/>
    <w:rsid w:val="00840990"/>
    <w:rsid w:val="00841490"/>
    <w:rsid w:val="00841952"/>
    <w:rsid w:val="00841E73"/>
    <w:rsid w:val="008428F0"/>
    <w:rsid w:val="0084596F"/>
    <w:rsid w:val="00846272"/>
    <w:rsid w:val="00847342"/>
    <w:rsid w:val="00847A54"/>
    <w:rsid w:val="00851401"/>
    <w:rsid w:val="0085284E"/>
    <w:rsid w:val="00852E57"/>
    <w:rsid w:val="00853994"/>
    <w:rsid w:val="00853D18"/>
    <w:rsid w:val="00854A7B"/>
    <w:rsid w:val="008568C8"/>
    <w:rsid w:val="008569A3"/>
    <w:rsid w:val="00857151"/>
    <w:rsid w:val="0086083C"/>
    <w:rsid w:val="00860DF8"/>
    <w:rsid w:val="00860F79"/>
    <w:rsid w:val="00864879"/>
    <w:rsid w:val="008652C7"/>
    <w:rsid w:val="0086539C"/>
    <w:rsid w:val="00866278"/>
    <w:rsid w:val="008706D7"/>
    <w:rsid w:val="00873AD1"/>
    <w:rsid w:val="00876E2E"/>
    <w:rsid w:val="00876F78"/>
    <w:rsid w:val="0087707B"/>
    <w:rsid w:val="00880115"/>
    <w:rsid w:val="00880B6C"/>
    <w:rsid w:val="00881E71"/>
    <w:rsid w:val="0088214A"/>
    <w:rsid w:val="00882575"/>
    <w:rsid w:val="00884602"/>
    <w:rsid w:val="0088473C"/>
    <w:rsid w:val="00885323"/>
    <w:rsid w:val="0088555C"/>
    <w:rsid w:val="0088712E"/>
    <w:rsid w:val="00890906"/>
    <w:rsid w:val="00894470"/>
    <w:rsid w:val="00894CC4"/>
    <w:rsid w:val="00895126"/>
    <w:rsid w:val="008957DC"/>
    <w:rsid w:val="00896B96"/>
    <w:rsid w:val="00897A81"/>
    <w:rsid w:val="008A3283"/>
    <w:rsid w:val="008A612C"/>
    <w:rsid w:val="008A6515"/>
    <w:rsid w:val="008A6A26"/>
    <w:rsid w:val="008A6EC2"/>
    <w:rsid w:val="008A74F2"/>
    <w:rsid w:val="008B47B3"/>
    <w:rsid w:val="008B5802"/>
    <w:rsid w:val="008B5D40"/>
    <w:rsid w:val="008B6102"/>
    <w:rsid w:val="008B6B1D"/>
    <w:rsid w:val="008B76E2"/>
    <w:rsid w:val="008C0FE5"/>
    <w:rsid w:val="008C1BAA"/>
    <w:rsid w:val="008C1EDA"/>
    <w:rsid w:val="008C21F3"/>
    <w:rsid w:val="008C25F0"/>
    <w:rsid w:val="008C2A3F"/>
    <w:rsid w:val="008C3539"/>
    <w:rsid w:val="008C3C53"/>
    <w:rsid w:val="008C4337"/>
    <w:rsid w:val="008C51EE"/>
    <w:rsid w:val="008C5486"/>
    <w:rsid w:val="008C5724"/>
    <w:rsid w:val="008C7DDF"/>
    <w:rsid w:val="008D10EC"/>
    <w:rsid w:val="008D1AF1"/>
    <w:rsid w:val="008D23CA"/>
    <w:rsid w:val="008D3403"/>
    <w:rsid w:val="008D40EA"/>
    <w:rsid w:val="008D4B8D"/>
    <w:rsid w:val="008D51B3"/>
    <w:rsid w:val="008D5A14"/>
    <w:rsid w:val="008D5ECD"/>
    <w:rsid w:val="008E0114"/>
    <w:rsid w:val="008E07AA"/>
    <w:rsid w:val="008E102B"/>
    <w:rsid w:val="008E2235"/>
    <w:rsid w:val="008E391C"/>
    <w:rsid w:val="008E3F29"/>
    <w:rsid w:val="008E3FAC"/>
    <w:rsid w:val="008E5552"/>
    <w:rsid w:val="008E582D"/>
    <w:rsid w:val="008E65E7"/>
    <w:rsid w:val="008E798E"/>
    <w:rsid w:val="008F0E0B"/>
    <w:rsid w:val="008F1B16"/>
    <w:rsid w:val="008F27C0"/>
    <w:rsid w:val="008F2BC4"/>
    <w:rsid w:val="008F2D20"/>
    <w:rsid w:val="008F4691"/>
    <w:rsid w:val="008F4A3F"/>
    <w:rsid w:val="008F5259"/>
    <w:rsid w:val="008F5778"/>
    <w:rsid w:val="008F6679"/>
    <w:rsid w:val="008F6E90"/>
    <w:rsid w:val="00900013"/>
    <w:rsid w:val="009010AD"/>
    <w:rsid w:val="00902335"/>
    <w:rsid w:val="00903F3E"/>
    <w:rsid w:val="00903FA1"/>
    <w:rsid w:val="0090404C"/>
    <w:rsid w:val="009066CA"/>
    <w:rsid w:val="0090692A"/>
    <w:rsid w:val="00910DBC"/>
    <w:rsid w:val="009116A3"/>
    <w:rsid w:val="00912595"/>
    <w:rsid w:val="00912C46"/>
    <w:rsid w:val="00914275"/>
    <w:rsid w:val="00914EEB"/>
    <w:rsid w:val="00915806"/>
    <w:rsid w:val="00920F77"/>
    <w:rsid w:val="009210E5"/>
    <w:rsid w:val="00921AA0"/>
    <w:rsid w:val="00921B3A"/>
    <w:rsid w:val="009224B0"/>
    <w:rsid w:val="00923FAD"/>
    <w:rsid w:val="009258FE"/>
    <w:rsid w:val="009276D6"/>
    <w:rsid w:val="00930CC4"/>
    <w:rsid w:val="00931303"/>
    <w:rsid w:val="00931DAA"/>
    <w:rsid w:val="00932E8F"/>
    <w:rsid w:val="00933844"/>
    <w:rsid w:val="00935946"/>
    <w:rsid w:val="009369C9"/>
    <w:rsid w:val="00936ADE"/>
    <w:rsid w:val="0093765F"/>
    <w:rsid w:val="00940D78"/>
    <w:rsid w:val="0094187B"/>
    <w:rsid w:val="00943EC5"/>
    <w:rsid w:val="009454F2"/>
    <w:rsid w:val="00950627"/>
    <w:rsid w:val="00951CE5"/>
    <w:rsid w:val="00952034"/>
    <w:rsid w:val="00953C36"/>
    <w:rsid w:val="00954404"/>
    <w:rsid w:val="00955DE5"/>
    <w:rsid w:val="009563E1"/>
    <w:rsid w:val="00956C4E"/>
    <w:rsid w:val="00960FB4"/>
    <w:rsid w:val="009618A8"/>
    <w:rsid w:val="00961992"/>
    <w:rsid w:val="00964E91"/>
    <w:rsid w:val="0096520E"/>
    <w:rsid w:val="00965DBD"/>
    <w:rsid w:val="009660DD"/>
    <w:rsid w:val="00967786"/>
    <w:rsid w:val="00967F56"/>
    <w:rsid w:val="00970268"/>
    <w:rsid w:val="00971AFB"/>
    <w:rsid w:val="009756ED"/>
    <w:rsid w:val="00975E67"/>
    <w:rsid w:val="009770C8"/>
    <w:rsid w:val="009778FF"/>
    <w:rsid w:val="00981BE4"/>
    <w:rsid w:val="009826F3"/>
    <w:rsid w:val="00982941"/>
    <w:rsid w:val="00982DD6"/>
    <w:rsid w:val="00991A3C"/>
    <w:rsid w:val="00992B1A"/>
    <w:rsid w:val="0099309C"/>
    <w:rsid w:val="00993649"/>
    <w:rsid w:val="0099596A"/>
    <w:rsid w:val="00995A6A"/>
    <w:rsid w:val="009960E5"/>
    <w:rsid w:val="00996BA2"/>
    <w:rsid w:val="00997079"/>
    <w:rsid w:val="009A07C3"/>
    <w:rsid w:val="009A107E"/>
    <w:rsid w:val="009A13F7"/>
    <w:rsid w:val="009A1B4E"/>
    <w:rsid w:val="009A1F9B"/>
    <w:rsid w:val="009A2089"/>
    <w:rsid w:val="009A24DB"/>
    <w:rsid w:val="009A280F"/>
    <w:rsid w:val="009A391E"/>
    <w:rsid w:val="009A483E"/>
    <w:rsid w:val="009A4E26"/>
    <w:rsid w:val="009A5781"/>
    <w:rsid w:val="009A795E"/>
    <w:rsid w:val="009A7B03"/>
    <w:rsid w:val="009A7CEA"/>
    <w:rsid w:val="009B09BB"/>
    <w:rsid w:val="009B0C0D"/>
    <w:rsid w:val="009B0CED"/>
    <w:rsid w:val="009B13C0"/>
    <w:rsid w:val="009B1FA3"/>
    <w:rsid w:val="009B3371"/>
    <w:rsid w:val="009B468C"/>
    <w:rsid w:val="009B53F1"/>
    <w:rsid w:val="009B5C0E"/>
    <w:rsid w:val="009B668F"/>
    <w:rsid w:val="009B6C1D"/>
    <w:rsid w:val="009B717D"/>
    <w:rsid w:val="009C0090"/>
    <w:rsid w:val="009C01E9"/>
    <w:rsid w:val="009C03F7"/>
    <w:rsid w:val="009C053D"/>
    <w:rsid w:val="009C10E7"/>
    <w:rsid w:val="009C18DC"/>
    <w:rsid w:val="009C29A2"/>
    <w:rsid w:val="009C5A59"/>
    <w:rsid w:val="009C7727"/>
    <w:rsid w:val="009D02B1"/>
    <w:rsid w:val="009D15B3"/>
    <w:rsid w:val="009D1C19"/>
    <w:rsid w:val="009D1ED8"/>
    <w:rsid w:val="009D2B27"/>
    <w:rsid w:val="009D339F"/>
    <w:rsid w:val="009D4FE1"/>
    <w:rsid w:val="009D564C"/>
    <w:rsid w:val="009E070D"/>
    <w:rsid w:val="009E28F5"/>
    <w:rsid w:val="009E323E"/>
    <w:rsid w:val="009E405E"/>
    <w:rsid w:val="009E5B7C"/>
    <w:rsid w:val="009E5D9C"/>
    <w:rsid w:val="009E60BE"/>
    <w:rsid w:val="009E6333"/>
    <w:rsid w:val="009E730D"/>
    <w:rsid w:val="009F1A55"/>
    <w:rsid w:val="009F1AE3"/>
    <w:rsid w:val="009F423C"/>
    <w:rsid w:val="00A004B1"/>
    <w:rsid w:val="00A02E02"/>
    <w:rsid w:val="00A03218"/>
    <w:rsid w:val="00A0338B"/>
    <w:rsid w:val="00A03AB2"/>
    <w:rsid w:val="00A03DA1"/>
    <w:rsid w:val="00A03E5A"/>
    <w:rsid w:val="00A04BDC"/>
    <w:rsid w:val="00A04C81"/>
    <w:rsid w:val="00A05795"/>
    <w:rsid w:val="00A0640F"/>
    <w:rsid w:val="00A06E76"/>
    <w:rsid w:val="00A07E41"/>
    <w:rsid w:val="00A11E2B"/>
    <w:rsid w:val="00A12741"/>
    <w:rsid w:val="00A13AAE"/>
    <w:rsid w:val="00A13ACA"/>
    <w:rsid w:val="00A13D40"/>
    <w:rsid w:val="00A14124"/>
    <w:rsid w:val="00A142BD"/>
    <w:rsid w:val="00A14567"/>
    <w:rsid w:val="00A14B80"/>
    <w:rsid w:val="00A151A0"/>
    <w:rsid w:val="00A15E6F"/>
    <w:rsid w:val="00A172AD"/>
    <w:rsid w:val="00A20266"/>
    <w:rsid w:val="00A2329D"/>
    <w:rsid w:val="00A24325"/>
    <w:rsid w:val="00A24F1B"/>
    <w:rsid w:val="00A255CB"/>
    <w:rsid w:val="00A25D33"/>
    <w:rsid w:val="00A260EC"/>
    <w:rsid w:val="00A2709F"/>
    <w:rsid w:val="00A270E9"/>
    <w:rsid w:val="00A276F1"/>
    <w:rsid w:val="00A319F3"/>
    <w:rsid w:val="00A32EC2"/>
    <w:rsid w:val="00A35062"/>
    <w:rsid w:val="00A350B1"/>
    <w:rsid w:val="00A354B8"/>
    <w:rsid w:val="00A36AD8"/>
    <w:rsid w:val="00A3732E"/>
    <w:rsid w:val="00A40946"/>
    <w:rsid w:val="00A44A17"/>
    <w:rsid w:val="00A50839"/>
    <w:rsid w:val="00A5209C"/>
    <w:rsid w:val="00A520ED"/>
    <w:rsid w:val="00A5228D"/>
    <w:rsid w:val="00A52B74"/>
    <w:rsid w:val="00A533FE"/>
    <w:rsid w:val="00A53AE9"/>
    <w:rsid w:val="00A55FBD"/>
    <w:rsid w:val="00A56187"/>
    <w:rsid w:val="00A56815"/>
    <w:rsid w:val="00A57B01"/>
    <w:rsid w:val="00A57DE3"/>
    <w:rsid w:val="00A605C5"/>
    <w:rsid w:val="00A60A65"/>
    <w:rsid w:val="00A61B1C"/>
    <w:rsid w:val="00A62A4D"/>
    <w:rsid w:val="00A62D7B"/>
    <w:rsid w:val="00A62F5A"/>
    <w:rsid w:val="00A64D89"/>
    <w:rsid w:val="00A653FA"/>
    <w:rsid w:val="00A65CDC"/>
    <w:rsid w:val="00A6623A"/>
    <w:rsid w:val="00A67E83"/>
    <w:rsid w:val="00A7052E"/>
    <w:rsid w:val="00A70904"/>
    <w:rsid w:val="00A7107A"/>
    <w:rsid w:val="00A71C43"/>
    <w:rsid w:val="00A729B8"/>
    <w:rsid w:val="00A7327E"/>
    <w:rsid w:val="00A74A6D"/>
    <w:rsid w:val="00A74CD4"/>
    <w:rsid w:val="00A77C29"/>
    <w:rsid w:val="00A804C1"/>
    <w:rsid w:val="00A8102B"/>
    <w:rsid w:val="00A81489"/>
    <w:rsid w:val="00A841C4"/>
    <w:rsid w:val="00A919E7"/>
    <w:rsid w:val="00A92279"/>
    <w:rsid w:val="00A92443"/>
    <w:rsid w:val="00A92F42"/>
    <w:rsid w:val="00A9357F"/>
    <w:rsid w:val="00A935AB"/>
    <w:rsid w:val="00A939AF"/>
    <w:rsid w:val="00A93F72"/>
    <w:rsid w:val="00A94301"/>
    <w:rsid w:val="00A94C06"/>
    <w:rsid w:val="00A94F86"/>
    <w:rsid w:val="00A9558E"/>
    <w:rsid w:val="00A955A7"/>
    <w:rsid w:val="00A95DF5"/>
    <w:rsid w:val="00A96E23"/>
    <w:rsid w:val="00A97278"/>
    <w:rsid w:val="00A974F2"/>
    <w:rsid w:val="00AA04A3"/>
    <w:rsid w:val="00AA15B3"/>
    <w:rsid w:val="00AA175E"/>
    <w:rsid w:val="00AA33F2"/>
    <w:rsid w:val="00AA37D3"/>
    <w:rsid w:val="00AA3B20"/>
    <w:rsid w:val="00AA5E82"/>
    <w:rsid w:val="00AA7DFF"/>
    <w:rsid w:val="00AB024B"/>
    <w:rsid w:val="00AB0846"/>
    <w:rsid w:val="00AB2379"/>
    <w:rsid w:val="00AB2E6F"/>
    <w:rsid w:val="00AB3503"/>
    <w:rsid w:val="00AB39F7"/>
    <w:rsid w:val="00AB3FA9"/>
    <w:rsid w:val="00AB4CCC"/>
    <w:rsid w:val="00AB515D"/>
    <w:rsid w:val="00AB51EC"/>
    <w:rsid w:val="00AB5366"/>
    <w:rsid w:val="00AB66E3"/>
    <w:rsid w:val="00AB6BF9"/>
    <w:rsid w:val="00AB79B4"/>
    <w:rsid w:val="00AC0E9B"/>
    <w:rsid w:val="00AC222B"/>
    <w:rsid w:val="00AC2453"/>
    <w:rsid w:val="00AC251F"/>
    <w:rsid w:val="00AC2609"/>
    <w:rsid w:val="00AC4908"/>
    <w:rsid w:val="00AC4B4F"/>
    <w:rsid w:val="00AC72B1"/>
    <w:rsid w:val="00AC763C"/>
    <w:rsid w:val="00AC794F"/>
    <w:rsid w:val="00AC7BA4"/>
    <w:rsid w:val="00AD19ED"/>
    <w:rsid w:val="00AD3621"/>
    <w:rsid w:val="00AD42DA"/>
    <w:rsid w:val="00AD4A24"/>
    <w:rsid w:val="00AD6358"/>
    <w:rsid w:val="00AD6B02"/>
    <w:rsid w:val="00AD73AE"/>
    <w:rsid w:val="00AD7A3F"/>
    <w:rsid w:val="00AE0007"/>
    <w:rsid w:val="00AE25BA"/>
    <w:rsid w:val="00AE3020"/>
    <w:rsid w:val="00AE4462"/>
    <w:rsid w:val="00AE5958"/>
    <w:rsid w:val="00B00640"/>
    <w:rsid w:val="00B02243"/>
    <w:rsid w:val="00B03F15"/>
    <w:rsid w:val="00B06510"/>
    <w:rsid w:val="00B07EFA"/>
    <w:rsid w:val="00B10680"/>
    <w:rsid w:val="00B12279"/>
    <w:rsid w:val="00B1263D"/>
    <w:rsid w:val="00B126AB"/>
    <w:rsid w:val="00B13232"/>
    <w:rsid w:val="00B1365F"/>
    <w:rsid w:val="00B14375"/>
    <w:rsid w:val="00B166AA"/>
    <w:rsid w:val="00B168DC"/>
    <w:rsid w:val="00B16C8C"/>
    <w:rsid w:val="00B17B56"/>
    <w:rsid w:val="00B17BD1"/>
    <w:rsid w:val="00B17F36"/>
    <w:rsid w:val="00B17F76"/>
    <w:rsid w:val="00B20329"/>
    <w:rsid w:val="00B20D8B"/>
    <w:rsid w:val="00B210B6"/>
    <w:rsid w:val="00B2415E"/>
    <w:rsid w:val="00B2523E"/>
    <w:rsid w:val="00B2592D"/>
    <w:rsid w:val="00B30084"/>
    <w:rsid w:val="00B31FDC"/>
    <w:rsid w:val="00B3387F"/>
    <w:rsid w:val="00B33C29"/>
    <w:rsid w:val="00B34A82"/>
    <w:rsid w:val="00B35088"/>
    <w:rsid w:val="00B35BC3"/>
    <w:rsid w:val="00B36228"/>
    <w:rsid w:val="00B3696B"/>
    <w:rsid w:val="00B36ABC"/>
    <w:rsid w:val="00B3783F"/>
    <w:rsid w:val="00B37894"/>
    <w:rsid w:val="00B37EA8"/>
    <w:rsid w:val="00B40496"/>
    <w:rsid w:val="00B418D2"/>
    <w:rsid w:val="00B44073"/>
    <w:rsid w:val="00B44624"/>
    <w:rsid w:val="00B44763"/>
    <w:rsid w:val="00B45E57"/>
    <w:rsid w:val="00B45FA9"/>
    <w:rsid w:val="00B45FD6"/>
    <w:rsid w:val="00B46AC5"/>
    <w:rsid w:val="00B47F3C"/>
    <w:rsid w:val="00B50475"/>
    <w:rsid w:val="00B51504"/>
    <w:rsid w:val="00B518CA"/>
    <w:rsid w:val="00B519E6"/>
    <w:rsid w:val="00B528E7"/>
    <w:rsid w:val="00B533BE"/>
    <w:rsid w:val="00B53870"/>
    <w:rsid w:val="00B60081"/>
    <w:rsid w:val="00B604F3"/>
    <w:rsid w:val="00B60699"/>
    <w:rsid w:val="00B60F9A"/>
    <w:rsid w:val="00B61445"/>
    <w:rsid w:val="00B61A02"/>
    <w:rsid w:val="00B63164"/>
    <w:rsid w:val="00B6322D"/>
    <w:rsid w:val="00B6349D"/>
    <w:rsid w:val="00B636A8"/>
    <w:rsid w:val="00B63751"/>
    <w:rsid w:val="00B64F77"/>
    <w:rsid w:val="00B66395"/>
    <w:rsid w:val="00B66802"/>
    <w:rsid w:val="00B70A0C"/>
    <w:rsid w:val="00B70CC1"/>
    <w:rsid w:val="00B733AE"/>
    <w:rsid w:val="00B74E55"/>
    <w:rsid w:val="00B8179F"/>
    <w:rsid w:val="00B83ACB"/>
    <w:rsid w:val="00B850D4"/>
    <w:rsid w:val="00B86D3A"/>
    <w:rsid w:val="00B87C04"/>
    <w:rsid w:val="00B87F92"/>
    <w:rsid w:val="00B91184"/>
    <w:rsid w:val="00B91506"/>
    <w:rsid w:val="00B917A0"/>
    <w:rsid w:val="00B93543"/>
    <w:rsid w:val="00B935F5"/>
    <w:rsid w:val="00B93EDD"/>
    <w:rsid w:val="00B94088"/>
    <w:rsid w:val="00B94D5C"/>
    <w:rsid w:val="00B95C6C"/>
    <w:rsid w:val="00B96B2D"/>
    <w:rsid w:val="00B96D2E"/>
    <w:rsid w:val="00B970F3"/>
    <w:rsid w:val="00BA0242"/>
    <w:rsid w:val="00BA03E0"/>
    <w:rsid w:val="00BA0725"/>
    <w:rsid w:val="00BA1953"/>
    <w:rsid w:val="00BA1CE0"/>
    <w:rsid w:val="00BA1F4D"/>
    <w:rsid w:val="00BA2EFE"/>
    <w:rsid w:val="00BA35A0"/>
    <w:rsid w:val="00BA4A31"/>
    <w:rsid w:val="00BA6AA2"/>
    <w:rsid w:val="00BB1588"/>
    <w:rsid w:val="00BB2B4B"/>
    <w:rsid w:val="00BB326F"/>
    <w:rsid w:val="00BB46D4"/>
    <w:rsid w:val="00BB5190"/>
    <w:rsid w:val="00BB5B4F"/>
    <w:rsid w:val="00BC060E"/>
    <w:rsid w:val="00BC0979"/>
    <w:rsid w:val="00BC0EA6"/>
    <w:rsid w:val="00BC3D63"/>
    <w:rsid w:val="00BC408F"/>
    <w:rsid w:val="00BC4545"/>
    <w:rsid w:val="00BC5136"/>
    <w:rsid w:val="00BC6710"/>
    <w:rsid w:val="00BC68EE"/>
    <w:rsid w:val="00BD08AA"/>
    <w:rsid w:val="00BD195C"/>
    <w:rsid w:val="00BD3E41"/>
    <w:rsid w:val="00BD43A2"/>
    <w:rsid w:val="00BD4629"/>
    <w:rsid w:val="00BD48B8"/>
    <w:rsid w:val="00BD4B00"/>
    <w:rsid w:val="00BD5B7F"/>
    <w:rsid w:val="00BD6ABC"/>
    <w:rsid w:val="00BD70A3"/>
    <w:rsid w:val="00BD7329"/>
    <w:rsid w:val="00BD7F65"/>
    <w:rsid w:val="00BE0176"/>
    <w:rsid w:val="00BE0BB9"/>
    <w:rsid w:val="00BE12A2"/>
    <w:rsid w:val="00BE1A1C"/>
    <w:rsid w:val="00BE1A9B"/>
    <w:rsid w:val="00BE2A03"/>
    <w:rsid w:val="00BE3490"/>
    <w:rsid w:val="00BE394A"/>
    <w:rsid w:val="00BE396E"/>
    <w:rsid w:val="00BE51E8"/>
    <w:rsid w:val="00BE604C"/>
    <w:rsid w:val="00BE6BDE"/>
    <w:rsid w:val="00BE71DC"/>
    <w:rsid w:val="00BE7B51"/>
    <w:rsid w:val="00BF27C5"/>
    <w:rsid w:val="00BF30C1"/>
    <w:rsid w:val="00BF358B"/>
    <w:rsid w:val="00BF553E"/>
    <w:rsid w:val="00BF5669"/>
    <w:rsid w:val="00BF5A9D"/>
    <w:rsid w:val="00BF7506"/>
    <w:rsid w:val="00BF7D0B"/>
    <w:rsid w:val="00C0062C"/>
    <w:rsid w:val="00C00F19"/>
    <w:rsid w:val="00C016AB"/>
    <w:rsid w:val="00C02F48"/>
    <w:rsid w:val="00C03781"/>
    <w:rsid w:val="00C107EC"/>
    <w:rsid w:val="00C1178B"/>
    <w:rsid w:val="00C11B81"/>
    <w:rsid w:val="00C12168"/>
    <w:rsid w:val="00C1329D"/>
    <w:rsid w:val="00C1366D"/>
    <w:rsid w:val="00C14ADE"/>
    <w:rsid w:val="00C14B55"/>
    <w:rsid w:val="00C153F5"/>
    <w:rsid w:val="00C161A4"/>
    <w:rsid w:val="00C208C5"/>
    <w:rsid w:val="00C2190D"/>
    <w:rsid w:val="00C225FA"/>
    <w:rsid w:val="00C22764"/>
    <w:rsid w:val="00C22864"/>
    <w:rsid w:val="00C23CDD"/>
    <w:rsid w:val="00C2401E"/>
    <w:rsid w:val="00C2503D"/>
    <w:rsid w:val="00C27A67"/>
    <w:rsid w:val="00C30F04"/>
    <w:rsid w:val="00C315F6"/>
    <w:rsid w:val="00C32B7F"/>
    <w:rsid w:val="00C3311E"/>
    <w:rsid w:val="00C33DC8"/>
    <w:rsid w:val="00C34389"/>
    <w:rsid w:val="00C37378"/>
    <w:rsid w:val="00C40FCD"/>
    <w:rsid w:val="00C42339"/>
    <w:rsid w:val="00C42AE9"/>
    <w:rsid w:val="00C42F94"/>
    <w:rsid w:val="00C43102"/>
    <w:rsid w:val="00C4412F"/>
    <w:rsid w:val="00C44693"/>
    <w:rsid w:val="00C47789"/>
    <w:rsid w:val="00C505B7"/>
    <w:rsid w:val="00C51717"/>
    <w:rsid w:val="00C530DC"/>
    <w:rsid w:val="00C578DB"/>
    <w:rsid w:val="00C601E7"/>
    <w:rsid w:val="00C635B0"/>
    <w:rsid w:val="00C649D8"/>
    <w:rsid w:val="00C66852"/>
    <w:rsid w:val="00C66FA1"/>
    <w:rsid w:val="00C723CD"/>
    <w:rsid w:val="00C749B2"/>
    <w:rsid w:val="00C74C30"/>
    <w:rsid w:val="00C74F56"/>
    <w:rsid w:val="00C761AF"/>
    <w:rsid w:val="00C77406"/>
    <w:rsid w:val="00C779CA"/>
    <w:rsid w:val="00C80009"/>
    <w:rsid w:val="00C80202"/>
    <w:rsid w:val="00C818C2"/>
    <w:rsid w:val="00C8225E"/>
    <w:rsid w:val="00C82C44"/>
    <w:rsid w:val="00C85F01"/>
    <w:rsid w:val="00C91EB2"/>
    <w:rsid w:val="00C93BCB"/>
    <w:rsid w:val="00C93F93"/>
    <w:rsid w:val="00C952F1"/>
    <w:rsid w:val="00C9670B"/>
    <w:rsid w:val="00C9709A"/>
    <w:rsid w:val="00C97131"/>
    <w:rsid w:val="00C97F25"/>
    <w:rsid w:val="00CA1039"/>
    <w:rsid w:val="00CA3482"/>
    <w:rsid w:val="00CA4D80"/>
    <w:rsid w:val="00CA4D95"/>
    <w:rsid w:val="00CA58DF"/>
    <w:rsid w:val="00CA59F0"/>
    <w:rsid w:val="00CA6CB8"/>
    <w:rsid w:val="00CB02E7"/>
    <w:rsid w:val="00CB0737"/>
    <w:rsid w:val="00CB1476"/>
    <w:rsid w:val="00CB1590"/>
    <w:rsid w:val="00CB249B"/>
    <w:rsid w:val="00CB44D3"/>
    <w:rsid w:val="00CB49C0"/>
    <w:rsid w:val="00CB4B19"/>
    <w:rsid w:val="00CB6238"/>
    <w:rsid w:val="00CB69D1"/>
    <w:rsid w:val="00CB71C8"/>
    <w:rsid w:val="00CB77A7"/>
    <w:rsid w:val="00CB77C1"/>
    <w:rsid w:val="00CB7850"/>
    <w:rsid w:val="00CC0CBA"/>
    <w:rsid w:val="00CC16AE"/>
    <w:rsid w:val="00CC33C0"/>
    <w:rsid w:val="00CC6D54"/>
    <w:rsid w:val="00CC7BCA"/>
    <w:rsid w:val="00CD35C4"/>
    <w:rsid w:val="00CD3AE6"/>
    <w:rsid w:val="00CD417D"/>
    <w:rsid w:val="00CD738E"/>
    <w:rsid w:val="00CD753E"/>
    <w:rsid w:val="00CD7693"/>
    <w:rsid w:val="00CE0635"/>
    <w:rsid w:val="00CE0739"/>
    <w:rsid w:val="00CE0F79"/>
    <w:rsid w:val="00CE1070"/>
    <w:rsid w:val="00CE16AF"/>
    <w:rsid w:val="00CE3F40"/>
    <w:rsid w:val="00CE4591"/>
    <w:rsid w:val="00CE5BEE"/>
    <w:rsid w:val="00CE60B0"/>
    <w:rsid w:val="00CE60CB"/>
    <w:rsid w:val="00CF0120"/>
    <w:rsid w:val="00CF01AB"/>
    <w:rsid w:val="00CF1D28"/>
    <w:rsid w:val="00CF2273"/>
    <w:rsid w:val="00CF3038"/>
    <w:rsid w:val="00CF3DBD"/>
    <w:rsid w:val="00CF47F0"/>
    <w:rsid w:val="00CF5085"/>
    <w:rsid w:val="00CF64AF"/>
    <w:rsid w:val="00CF6C1A"/>
    <w:rsid w:val="00D009B0"/>
    <w:rsid w:val="00D01907"/>
    <w:rsid w:val="00D01F5C"/>
    <w:rsid w:val="00D0210B"/>
    <w:rsid w:val="00D02FBB"/>
    <w:rsid w:val="00D0557C"/>
    <w:rsid w:val="00D05936"/>
    <w:rsid w:val="00D059E3"/>
    <w:rsid w:val="00D1042B"/>
    <w:rsid w:val="00D108A1"/>
    <w:rsid w:val="00D1101A"/>
    <w:rsid w:val="00D1281F"/>
    <w:rsid w:val="00D1294E"/>
    <w:rsid w:val="00D13A1F"/>
    <w:rsid w:val="00D14AC2"/>
    <w:rsid w:val="00D1612C"/>
    <w:rsid w:val="00D162F1"/>
    <w:rsid w:val="00D17FE6"/>
    <w:rsid w:val="00D20349"/>
    <w:rsid w:val="00D20F1B"/>
    <w:rsid w:val="00D213E3"/>
    <w:rsid w:val="00D2460F"/>
    <w:rsid w:val="00D252C5"/>
    <w:rsid w:val="00D25705"/>
    <w:rsid w:val="00D2577C"/>
    <w:rsid w:val="00D32678"/>
    <w:rsid w:val="00D32A43"/>
    <w:rsid w:val="00D32E2E"/>
    <w:rsid w:val="00D33C77"/>
    <w:rsid w:val="00D33D5A"/>
    <w:rsid w:val="00D35277"/>
    <w:rsid w:val="00D368BB"/>
    <w:rsid w:val="00D37047"/>
    <w:rsid w:val="00D406B3"/>
    <w:rsid w:val="00D414F2"/>
    <w:rsid w:val="00D41CE4"/>
    <w:rsid w:val="00D41EB7"/>
    <w:rsid w:val="00D42220"/>
    <w:rsid w:val="00D42333"/>
    <w:rsid w:val="00D4306E"/>
    <w:rsid w:val="00D4385E"/>
    <w:rsid w:val="00D44704"/>
    <w:rsid w:val="00D4546A"/>
    <w:rsid w:val="00D467B7"/>
    <w:rsid w:val="00D4695F"/>
    <w:rsid w:val="00D47E61"/>
    <w:rsid w:val="00D47EA8"/>
    <w:rsid w:val="00D50AE1"/>
    <w:rsid w:val="00D50E4C"/>
    <w:rsid w:val="00D51118"/>
    <w:rsid w:val="00D51244"/>
    <w:rsid w:val="00D5192F"/>
    <w:rsid w:val="00D53B99"/>
    <w:rsid w:val="00D572E9"/>
    <w:rsid w:val="00D57927"/>
    <w:rsid w:val="00D60204"/>
    <w:rsid w:val="00D626E9"/>
    <w:rsid w:val="00D6277B"/>
    <w:rsid w:val="00D628C2"/>
    <w:rsid w:val="00D64303"/>
    <w:rsid w:val="00D649A9"/>
    <w:rsid w:val="00D64CF8"/>
    <w:rsid w:val="00D70241"/>
    <w:rsid w:val="00D70AA9"/>
    <w:rsid w:val="00D71F84"/>
    <w:rsid w:val="00D73450"/>
    <w:rsid w:val="00D754F9"/>
    <w:rsid w:val="00D75B3E"/>
    <w:rsid w:val="00D773E9"/>
    <w:rsid w:val="00D803E0"/>
    <w:rsid w:val="00D851EE"/>
    <w:rsid w:val="00D85E98"/>
    <w:rsid w:val="00D877DE"/>
    <w:rsid w:val="00D90A51"/>
    <w:rsid w:val="00D92502"/>
    <w:rsid w:val="00D92B2E"/>
    <w:rsid w:val="00D95891"/>
    <w:rsid w:val="00D95BB4"/>
    <w:rsid w:val="00D973E1"/>
    <w:rsid w:val="00D979AF"/>
    <w:rsid w:val="00D97B1A"/>
    <w:rsid w:val="00D97D2A"/>
    <w:rsid w:val="00DA3FC5"/>
    <w:rsid w:val="00DA4E10"/>
    <w:rsid w:val="00DA540B"/>
    <w:rsid w:val="00DA7EF4"/>
    <w:rsid w:val="00DB03C4"/>
    <w:rsid w:val="00DB0571"/>
    <w:rsid w:val="00DB06C1"/>
    <w:rsid w:val="00DB09EE"/>
    <w:rsid w:val="00DB3D07"/>
    <w:rsid w:val="00DB7753"/>
    <w:rsid w:val="00DC0426"/>
    <w:rsid w:val="00DC0952"/>
    <w:rsid w:val="00DC0A09"/>
    <w:rsid w:val="00DC1179"/>
    <w:rsid w:val="00DC4171"/>
    <w:rsid w:val="00DC44CA"/>
    <w:rsid w:val="00DC655A"/>
    <w:rsid w:val="00DC6576"/>
    <w:rsid w:val="00DC6800"/>
    <w:rsid w:val="00DC723A"/>
    <w:rsid w:val="00DD1720"/>
    <w:rsid w:val="00DD37A5"/>
    <w:rsid w:val="00DD3850"/>
    <w:rsid w:val="00DD4AE9"/>
    <w:rsid w:val="00DD4B9B"/>
    <w:rsid w:val="00DD70F6"/>
    <w:rsid w:val="00DD7315"/>
    <w:rsid w:val="00DD77AF"/>
    <w:rsid w:val="00DE06D0"/>
    <w:rsid w:val="00DE10A6"/>
    <w:rsid w:val="00DE4B4B"/>
    <w:rsid w:val="00DE56EA"/>
    <w:rsid w:val="00DE59D3"/>
    <w:rsid w:val="00DF06EF"/>
    <w:rsid w:val="00DF0973"/>
    <w:rsid w:val="00DF0CEB"/>
    <w:rsid w:val="00DF1390"/>
    <w:rsid w:val="00DF1635"/>
    <w:rsid w:val="00DF3CCE"/>
    <w:rsid w:val="00DF4B9F"/>
    <w:rsid w:val="00DF7032"/>
    <w:rsid w:val="00E001CB"/>
    <w:rsid w:val="00E02709"/>
    <w:rsid w:val="00E028DD"/>
    <w:rsid w:val="00E02C63"/>
    <w:rsid w:val="00E05325"/>
    <w:rsid w:val="00E07EC7"/>
    <w:rsid w:val="00E12175"/>
    <w:rsid w:val="00E13B57"/>
    <w:rsid w:val="00E13E0F"/>
    <w:rsid w:val="00E14C21"/>
    <w:rsid w:val="00E1504D"/>
    <w:rsid w:val="00E177FC"/>
    <w:rsid w:val="00E208FC"/>
    <w:rsid w:val="00E22766"/>
    <w:rsid w:val="00E241DC"/>
    <w:rsid w:val="00E255C7"/>
    <w:rsid w:val="00E2598E"/>
    <w:rsid w:val="00E3043B"/>
    <w:rsid w:val="00E307B6"/>
    <w:rsid w:val="00E30FD5"/>
    <w:rsid w:val="00E31952"/>
    <w:rsid w:val="00E31ECA"/>
    <w:rsid w:val="00E35A7F"/>
    <w:rsid w:val="00E365D4"/>
    <w:rsid w:val="00E36AC7"/>
    <w:rsid w:val="00E37175"/>
    <w:rsid w:val="00E421E2"/>
    <w:rsid w:val="00E426BB"/>
    <w:rsid w:val="00E42FA2"/>
    <w:rsid w:val="00E43E53"/>
    <w:rsid w:val="00E44649"/>
    <w:rsid w:val="00E470F1"/>
    <w:rsid w:val="00E50319"/>
    <w:rsid w:val="00E52037"/>
    <w:rsid w:val="00E52843"/>
    <w:rsid w:val="00E54997"/>
    <w:rsid w:val="00E55FF3"/>
    <w:rsid w:val="00E5643F"/>
    <w:rsid w:val="00E57201"/>
    <w:rsid w:val="00E57C4E"/>
    <w:rsid w:val="00E60127"/>
    <w:rsid w:val="00E6214F"/>
    <w:rsid w:val="00E627CD"/>
    <w:rsid w:val="00E62F20"/>
    <w:rsid w:val="00E63ED6"/>
    <w:rsid w:val="00E63F5D"/>
    <w:rsid w:val="00E64A75"/>
    <w:rsid w:val="00E64D6F"/>
    <w:rsid w:val="00E65A8D"/>
    <w:rsid w:val="00E65D11"/>
    <w:rsid w:val="00E6691C"/>
    <w:rsid w:val="00E67E9F"/>
    <w:rsid w:val="00E7024B"/>
    <w:rsid w:val="00E70EBD"/>
    <w:rsid w:val="00E73C5C"/>
    <w:rsid w:val="00E73D7B"/>
    <w:rsid w:val="00E74897"/>
    <w:rsid w:val="00E760A2"/>
    <w:rsid w:val="00E77340"/>
    <w:rsid w:val="00E815F2"/>
    <w:rsid w:val="00E820F3"/>
    <w:rsid w:val="00E84361"/>
    <w:rsid w:val="00E87515"/>
    <w:rsid w:val="00E87E5F"/>
    <w:rsid w:val="00E9086D"/>
    <w:rsid w:val="00E90EC3"/>
    <w:rsid w:val="00E90FC4"/>
    <w:rsid w:val="00E918C3"/>
    <w:rsid w:val="00E91ECC"/>
    <w:rsid w:val="00E9384A"/>
    <w:rsid w:val="00E94C27"/>
    <w:rsid w:val="00E94D87"/>
    <w:rsid w:val="00E95238"/>
    <w:rsid w:val="00E96069"/>
    <w:rsid w:val="00EA0562"/>
    <w:rsid w:val="00EA0C11"/>
    <w:rsid w:val="00EA12B8"/>
    <w:rsid w:val="00EA3718"/>
    <w:rsid w:val="00EA3AD7"/>
    <w:rsid w:val="00EA517C"/>
    <w:rsid w:val="00EA54C7"/>
    <w:rsid w:val="00EA59EC"/>
    <w:rsid w:val="00EA61C4"/>
    <w:rsid w:val="00EA621F"/>
    <w:rsid w:val="00EA6FB7"/>
    <w:rsid w:val="00EB05BB"/>
    <w:rsid w:val="00EB322B"/>
    <w:rsid w:val="00EB3316"/>
    <w:rsid w:val="00EB6B10"/>
    <w:rsid w:val="00EC09A3"/>
    <w:rsid w:val="00EC2175"/>
    <w:rsid w:val="00EC508D"/>
    <w:rsid w:val="00EC6E9C"/>
    <w:rsid w:val="00EC6EB5"/>
    <w:rsid w:val="00ED3E17"/>
    <w:rsid w:val="00ED772D"/>
    <w:rsid w:val="00ED776B"/>
    <w:rsid w:val="00ED7807"/>
    <w:rsid w:val="00EE00AC"/>
    <w:rsid w:val="00EE0FDF"/>
    <w:rsid w:val="00EE29EF"/>
    <w:rsid w:val="00EE3086"/>
    <w:rsid w:val="00EE4E74"/>
    <w:rsid w:val="00EE508B"/>
    <w:rsid w:val="00EE50AD"/>
    <w:rsid w:val="00EE57FF"/>
    <w:rsid w:val="00EE588D"/>
    <w:rsid w:val="00EE6A81"/>
    <w:rsid w:val="00EE72D3"/>
    <w:rsid w:val="00EE742F"/>
    <w:rsid w:val="00EE7951"/>
    <w:rsid w:val="00EE7C54"/>
    <w:rsid w:val="00EF0BEC"/>
    <w:rsid w:val="00EF1115"/>
    <w:rsid w:val="00EF288B"/>
    <w:rsid w:val="00EF3694"/>
    <w:rsid w:val="00EF4247"/>
    <w:rsid w:val="00F0065B"/>
    <w:rsid w:val="00F011FD"/>
    <w:rsid w:val="00F0389F"/>
    <w:rsid w:val="00F03E5A"/>
    <w:rsid w:val="00F0419E"/>
    <w:rsid w:val="00F041EA"/>
    <w:rsid w:val="00F05B55"/>
    <w:rsid w:val="00F05C64"/>
    <w:rsid w:val="00F0694A"/>
    <w:rsid w:val="00F06EF7"/>
    <w:rsid w:val="00F10CD4"/>
    <w:rsid w:val="00F12226"/>
    <w:rsid w:val="00F1329F"/>
    <w:rsid w:val="00F14146"/>
    <w:rsid w:val="00F141D8"/>
    <w:rsid w:val="00F142E1"/>
    <w:rsid w:val="00F14716"/>
    <w:rsid w:val="00F16DC3"/>
    <w:rsid w:val="00F174EC"/>
    <w:rsid w:val="00F20F30"/>
    <w:rsid w:val="00F22A16"/>
    <w:rsid w:val="00F235F6"/>
    <w:rsid w:val="00F239F2"/>
    <w:rsid w:val="00F2494C"/>
    <w:rsid w:val="00F3101E"/>
    <w:rsid w:val="00F32AAD"/>
    <w:rsid w:val="00F32B9A"/>
    <w:rsid w:val="00F330A2"/>
    <w:rsid w:val="00F34566"/>
    <w:rsid w:val="00F36377"/>
    <w:rsid w:val="00F36643"/>
    <w:rsid w:val="00F366DE"/>
    <w:rsid w:val="00F3692B"/>
    <w:rsid w:val="00F36A69"/>
    <w:rsid w:val="00F37328"/>
    <w:rsid w:val="00F3743E"/>
    <w:rsid w:val="00F40256"/>
    <w:rsid w:val="00F40497"/>
    <w:rsid w:val="00F42CA6"/>
    <w:rsid w:val="00F43509"/>
    <w:rsid w:val="00F436B1"/>
    <w:rsid w:val="00F44473"/>
    <w:rsid w:val="00F4688B"/>
    <w:rsid w:val="00F46BAF"/>
    <w:rsid w:val="00F47730"/>
    <w:rsid w:val="00F51015"/>
    <w:rsid w:val="00F51083"/>
    <w:rsid w:val="00F518E3"/>
    <w:rsid w:val="00F5356D"/>
    <w:rsid w:val="00F53A3E"/>
    <w:rsid w:val="00F53B83"/>
    <w:rsid w:val="00F540B6"/>
    <w:rsid w:val="00F54FC4"/>
    <w:rsid w:val="00F56E54"/>
    <w:rsid w:val="00F5775F"/>
    <w:rsid w:val="00F57843"/>
    <w:rsid w:val="00F60238"/>
    <w:rsid w:val="00F61459"/>
    <w:rsid w:val="00F637DF"/>
    <w:rsid w:val="00F6439E"/>
    <w:rsid w:val="00F65AEE"/>
    <w:rsid w:val="00F65C62"/>
    <w:rsid w:val="00F65F73"/>
    <w:rsid w:val="00F6677E"/>
    <w:rsid w:val="00F67749"/>
    <w:rsid w:val="00F702CB"/>
    <w:rsid w:val="00F7131C"/>
    <w:rsid w:val="00F7196F"/>
    <w:rsid w:val="00F726EE"/>
    <w:rsid w:val="00F72CD0"/>
    <w:rsid w:val="00F73DA9"/>
    <w:rsid w:val="00F73EC8"/>
    <w:rsid w:val="00F74F32"/>
    <w:rsid w:val="00F764AE"/>
    <w:rsid w:val="00F8038C"/>
    <w:rsid w:val="00F80C56"/>
    <w:rsid w:val="00F82502"/>
    <w:rsid w:val="00F83F8A"/>
    <w:rsid w:val="00F84A3D"/>
    <w:rsid w:val="00F85288"/>
    <w:rsid w:val="00F855B2"/>
    <w:rsid w:val="00F85FE9"/>
    <w:rsid w:val="00F8665F"/>
    <w:rsid w:val="00F8686C"/>
    <w:rsid w:val="00F9016D"/>
    <w:rsid w:val="00F90261"/>
    <w:rsid w:val="00F905B4"/>
    <w:rsid w:val="00F91B29"/>
    <w:rsid w:val="00F91BFC"/>
    <w:rsid w:val="00F91C3F"/>
    <w:rsid w:val="00F93940"/>
    <w:rsid w:val="00F95681"/>
    <w:rsid w:val="00FA0396"/>
    <w:rsid w:val="00FA0D90"/>
    <w:rsid w:val="00FA144C"/>
    <w:rsid w:val="00FA15C3"/>
    <w:rsid w:val="00FA2E33"/>
    <w:rsid w:val="00FA43F9"/>
    <w:rsid w:val="00FA4951"/>
    <w:rsid w:val="00FA5E5A"/>
    <w:rsid w:val="00FA658C"/>
    <w:rsid w:val="00FA7321"/>
    <w:rsid w:val="00FA7A21"/>
    <w:rsid w:val="00FB032B"/>
    <w:rsid w:val="00FB0386"/>
    <w:rsid w:val="00FB1533"/>
    <w:rsid w:val="00FB1D1A"/>
    <w:rsid w:val="00FB24EF"/>
    <w:rsid w:val="00FB2A24"/>
    <w:rsid w:val="00FB4939"/>
    <w:rsid w:val="00FB6DC7"/>
    <w:rsid w:val="00FC1A09"/>
    <w:rsid w:val="00FC3B9A"/>
    <w:rsid w:val="00FC4008"/>
    <w:rsid w:val="00FC4A03"/>
    <w:rsid w:val="00FC5529"/>
    <w:rsid w:val="00FC639C"/>
    <w:rsid w:val="00FC707E"/>
    <w:rsid w:val="00FC7343"/>
    <w:rsid w:val="00FC7C49"/>
    <w:rsid w:val="00FD0150"/>
    <w:rsid w:val="00FD23EA"/>
    <w:rsid w:val="00FD2741"/>
    <w:rsid w:val="00FD3651"/>
    <w:rsid w:val="00FD3E88"/>
    <w:rsid w:val="00FD485B"/>
    <w:rsid w:val="00FD571F"/>
    <w:rsid w:val="00FD7212"/>
    <w:rsid w:val="00FD7502"/>
    <w:rsid w:val="00FE1404"/>
    <w:rsid w:val="00FE26DE"/>
    <w:rsid w:val="00FE3B83"/>
    <w:rsid w:val="00FE6DB8"/>
    <w:rsid w:val="00FE7EFA"/>
    <w:rsid w:val="00FF1277"/>
    <w:rsid w:val="00FF20CA"/>
    <w:rsid w:val="00FF3278"/>
    <w:rsid w:val="00FF47D8"/>
    <w:rsid w:val="00FF684D"/>
    <w:rsid w:val="00FF76A1"/>
    <w:rsid w:val="012D307D"/>
    <w:rsid w:val="013305F2"/>
    <w:rsid w:val="018856E0"/>
    <w:rsid w:val="02247230"/>
    <w:rsid w:val="02385ABC"/>
    <w:rsid w:val="038D399C"/>
    <w:rsid w:val="041E1E95"/>
    <w:rsid w:val="04356109"/>
    <w:rsid w:val="046F0C65"/>
    <w:rsid w:val="04CA38F5"/>
    <w:rsid w:val="06331F2B"/>
    <w:rsid w:val="064A42BD"/>
    <w:rsid w:val="06A2525F"/>
    <w:rsid w:val="06D2107E"/>
    <w:rsid w:val="06EC2FBC"/>
    <w:rsid w:val="085C0CFB"/>
    <w:rsid w:val="08D06E4B"/>
    <w:rsid w:val="08E46086"/>
    <w:rsid w:val="09346E06"/>
    <w:rsid w:val="093570DE"/>
    <w:rsid w:val="09673E86"/>
    <w:rsid w:val="097202E0"/>
    <w:rsid w:val="09A2166C"/>
    <w:rsid w:val="09DA536D"/>
    <w:rsid w:val="09F835E9"/>
    <w:rsid w:val="0A2175C7"/>
    <w:rsid w:val="0A2721BA"/>
    <w:rsid w:val="0A4173AB"/>
    <w:rsid w:val="0AB47F4F"/>
    <w:rsid w:val="0AB639C1"/>
    <w:rsid w:val="0C0640D8"/>
    <w:rsid w:val="0D135B23"/>
    <w:rsid w:val="0D3B3A1C"/>
    <w:rsid w:val="0EE97FAA"/>
    <w:rsid w:val="0EFA35F9"/>
    <w:rsid w:val="0F2E7896"/>
    <w:rsid w:val="0F822606"/>
    <w:rsid w:val="0FFF6BA2"/>
    <w:rsid w:val="10373E6A"/>
    <w:rsid w:val="10B1077E"/>
    <w:rsid w:val="11845E93"/>
    <w:rsid w:val="12255AFC"/>
    <w:rsid w:val="122B0930"/>
    <w:rsid w:val="125E4EE4"/>
    <w:rsid w:val="1286585F"/>
    <w:rsid w:val="12CD3B64"/>
    <w:rsid w:val="131A46A7"/>
    <w:rsid w:val="134277F0"/>
    <w:rsid w:val="138207E7"/>
    <w:rsid w:val="1457163D"/>
    <w:rsid w:val="147348F5"/>
    <w:rsid w:val="148B7538"/>
    <w:rsid w:val="14D2341E"/>
    <w:rsid w:val="152B752F"/>
    <w:rsid w:val="153233D9"/>
    <w:rsid w:val="15357613"/>
    <w:rsid w:val="1566789D"/>
    <w:rsid w:val="1594066F"/>
    <w:rsid w:val="16ED1CB1"/>
    <w:rsid w:val="173E3D8A"/>
    <w:rsid w:val="17E214DD"/>
    <w:rsid w:val="17E65696"/>
    <w:rsid w:val="181C09C7"/>
    <w:rsid w:val="1835022E"/>
    <w:rsid w:val="186E680D"/>
    <w:rsid w:val="1892089D"/>
    <w:rsid w:val="19185D28"/>
    <w:rsid w:val="19681976"/>
    <w:rsid w:val="199432A6"/>
    <w:rsid w:val="1AAD645B"/>
    <w:rsid w:val="1B3D10B5"/>
    <w:rsid w:val="1C1F3D3A"/>
    <w:rsid w:val="1C3D6BC9"/>
    <w:rsid w:val="1D1E19B2"/>
    <w:rsid w:val="1D377EC7"/>
    <w:rsid w:val="1D6E1975"/>
    <w:rsid w:val="1DAD117E"/>
    <w:rsid w:val="1E0B2286"/>
    <w:rsid w:val="1E4C2F0A"/>
    <w:rsid w:val="1E8859E2"/>
    <w:rsid w:val="1E9F5731"/>
    <w:rsid w:val="1ED94A38"/>
    <w:rsid w:val="1EE740E1"/>
    <w:rsid w:val="203746F1"/>
    <w:rsid w:val="2049019E"/>
    <w:rsid w:val="20AC7A4A"/>
    <w:rsid w:val="20E73286"/>
    <w:rsid w:val="20E9129D"/>
    <w:rsid w:val="21064ACA"/>
    <w:rsid w:val="21D36C58"/>
    <w:rsid w:val="21D6040F"/>
    <w:rsid w:val="21E80AFA"/>
    <w:rsid w:val="220A16B0"/>
    <w:rsid w:val="2296105E"/>
    <w:rsid w:val="229A0B2A"/>
    <w:rsid w:val="233E694C"/>
    <w:rsid w:val="23A80563"/>
    <w:rsid w:val="243D3976"/>
    <w:rsid w:val="24CD7F23"/>
    <w:rsid w:val="24D23A23"/>
    <w:rsid w:val="261753F7"/>
    <w:rsid w:val="26D50FCD"/>
    <w:rsid w:val="270B364D"/>
    <w:rsid w:val="27516DBD"/>
    <w:rsid w:val="27717D06"/>
    <w:rsid w:val="279044C1"/>
    <w:rsid w:val="28394F3F"/>
    <w:rsid w:val="283B15B8"/>
    <w:rsid w:val="28BE5CD7"/>
    <w:rsid w:val="28F317BA"/>
    <w:rsid w:val="29297525"/>
    <w:rsid w:val="29655B1E"/>
    <w:rsid w:val="29B520D4"/>
    <w:rsid w:val="29B84BC6"/>
    <w:rsid w:val="2AF578DD"/>
    <w:rsid w:val="2BFA2A68"/>
    <w:rsid w:val="2C8903AA"/>
    <w:rsid w:val="2D0F26AC"/>
    <w:rsid w:val="2D7660F3"/>
    <w:rsid w:val="2E324AB0"/>
    <w:rsid w:val="2F51081E"/>
    <w:rsid w:val="303A2C98"/>
    <w:rsid w:val="31342FDA"/>
    <w:rsid w:val="32A01FA9"/>
    <w:rsid w:val="32AB409E"/>
    <w:rsid w:val="330400C5"/>
    <w:rsid w:val="3338022C"/>
    <w:rsid w:val="335209DD"/>
    <w:rsid w:val="33577282"/>
    <w:rsid w:val="335E2ABA"/>
    <w:rsid w:val="33A54FB7"/>
    <w:rsid w:val="342137A7"/>
    <w:rsid w:val="343C44DA"/>
    <w:rsid w:val="34441F14"/>
    <w:rsid w:val="3471471B"/>
    <w:rsid w:val="349C0E7B"/>
    <w:rsid w:val="34B24A91"/>
    <w:rsid w:val="352A70CB"/>
    <w:rsid w:val="354653F2"/>
    <w:rsid w:val="35E87898"/>
    <w:rsid w:val="36517B2E"/>
    <w:rsid w:val="366F0897"/>
    <w:rsid w:val="36806811"/>
    <w:rsid w:val="36B72699"/>
    <w:rsid w:val="375D6B5A"/>
    <w:rsid w:val="37A63746"/>
    <w:rsid w:val="389510E4"/>
    <w:rsid w:val="38ED2037"/>
    <w:rsid w:val="391F6C07"/>
    <w:rsid w:val="3973476B"/>
    <w:rsid w:val="399B6882"/>
    <w:rsid w:val="3A2A4F7A"/>
    <w:rsid w:val="3AB75D78"/>
    <w:rsid w:val="3BBF1754"/>
    <w:rsid w:val="3C7F3694"/>
    <w:rsid w:val="3C812E4B"/>
    <w:rsid w:val="3D606F05"/>
    <w:rsid w:val="3D613F10"/>
    <w:rsid w:val="3DCD5DFF"/>
    <w:rsid w:val="3E1C117F"/>
    <w:rsid w:val="3E286BC8"/>
    <w:rsid w:val="3F3C4A97"/>
    <w:rsid w:val="3F650802"/>
    <w:rsid w:val="402036FE"/>
    <w:rsid w:val="40472C9E"/>
    <w:rsid w:val="407D3A09"/>
    <w:rsid w:val="40A71315"/>
    <w:rsid w:val="41097F2B"/>
    <w:rsid w:val="41753708"/>
    <w:rsid w:val="419440CF"/>
    <w:rsid w:val="41BA2959"/>
    <w:rsid w:val="420A113F"/>
    <w:rsid w:val="42306491"/>
    <w:rsid w:val="425378AF"/>
    <w:rsid w:val="42B53B1B"/>
    <w:rsid w:val="42CD1B2F"/>
    <w:rsid w:val="43FD4807"/>
    <w:rsid w:val="44E4666D"/>
    <w:rsid w:val="45513477"/>
    <w:rsid w:val="45E73B34"/>
    <w:rsid w:val="45FD1795"/>
    <w:rsid w:val="473C17C0"/>
    <w:rsid w:val="47622A07"/>
    <w:rsid w:val="47D311CE"/>
    <w:rsid w:val="488566A6"/>
    <w:rsid w:val="48D22DA8"/>
    <w:rsid w:val="48D72F1C"/>
    <w:rsid w:val="491634D4"/>
    <w:rsid w:val="498974E6"/>
    <w:rsid w:val="49A712D5"/>
    <w:rsid w:val="49BF4F87"/>
    <w:rsid w:val="4A712F19"/>
    <w:rsid w:val="4ABE2EC5"/>
    <w:rsid w:val="4C2E32A1"/>
    <w:rsid w:val="4C712E42"/>
    <w:rsid w:val="4C8924A9"/>
    <w:rsid w:val="4C94088B"/>
    <w:rsid w:val="4D152158"/>
    <w:rsid w:val="4D362788"/>
    <w:rsid w:val="4DF15E38"/>
    <w:rsid w:val="4E3F057F"/>
    <w:rsid w:val="4E781EA0"/>
    <w:rsid w:val="4EAB287C"/>
    <w:rsid w:val="4F81517D"/>
    <w:rsid w:val="4FEE214E"/>
    <w:rsid w:val="509A337D"/>
    <w:rsid w:val="50DC04EE"/>
    <w:rsid w:val="523F7358"/>
    <w:rsid w:val="52D10231"/>
    <w:rsid w:val="52D66A38"/>
    <w:rsid w:val="52FA11A6"/>
    <w:rsid w:val="538F31FA"/>
    <w:rsid w:val="54766E6F"/>
    <w:rsid w:val="550E1608"/>
    <w:rsid w:val="5579200B"/>
    <w:rsid w:val="55FE00AA"/>
    <w:rsid w:val="56031A8A"/>
    <w:rsid w:val="56100D18"/>
    <w:rsid w:val="563B747D"/>
    <w:rsid w:val="56932A03"/>
    <w:rsid w:val="56E6532A"/>
    <w:rsid w:val="570A1B43"/>
    <w:rsid w:val="57BA5AD4"/>
    <w:rsid w:val="57C533DF"/>
    <w:rsid w:val="57FF6A2A"/>
    <w:rsid w:val="58670353"/>
    <w:rsid w:val="591D5A0F"/>
    <w:rsid w:val="59453534"/>
    <w:rsid w:val="596208B9"/>
    <w:rsid w:val="59C421BD"/>
    <w:rsid w:val="5AB05584"/>
    <w:rsid w:val="5C17756B"/>
    <w:rsid w:val="5C276D2F"/>
    <w:rsid w:val="5C765276"/>
    <w:rsid w:val="5C7C7378"/>
    <w:rsid w:val="5CC86B23"/>
    <w:rsid w:val="5CF05A1F"/>
    <w:rsid w:val="5D136D89"/>
    <w:rsid w:val="5DA717B8"/>
    <w:rsid w:val="5DEC1382"/>
    <w:rsid w:val="5ED8140E"/>
    <w:rsid w:val="5F5145CF"/>
    <w:rsid w:val="5F6C627A"/>
    <w:rsid w:val="602D666F"/>
    <w:rsid w:val="60805A49"/>
    <w:rsid w:val="60A033CC"/>
    <w:rsid w:val="61936854"/>
    <w:rsid w:val="61B61B6E"/>
    <w:rsid w:val="61C910DF"/>
    <w:rsid w:val="62BD124E"/>
    <w:rsid w:val="639E1469"/>
    <w:rsid w:val="63E12705"/>
    <w:rsid w:val="64E02555"/>
    <w:rsid w:val="65452116"/>
    <w:rsid w:val="655D6F6D"/>
    <w:rsid w:val="65D108DF"/>
    <w:rsid w:val="66210DE9"/>
    <w:rsid w:val="66483699"/>
    <w:rsid w:val="66E3596B"/>
    <w:rsid w:val="66EF6159"/>
    <w:rsid w:val="66FE2B14"/>
    <w:rsid w:val="67185CA3"/>
    <w:rsid w:val="67D6233A"/>
    <w:rsid w:val="67DA1E8F"/>
    <w:rsid w:val="684F2AAF"/>
    <w:rsid w:val="687E6184"/>
    <w:rsid w:val="68BC7F4B"/>
    <w:rsid w:val="69151445"/>
    <w:rsid w:val="692B02A6"/>
    <w:rsid w:val="69C94D8D"/>
    <w:rsid w:val="69E10D87"/>
    <w:rsid w:val="6AA8602B"/>
    <w:rsid w:val="6AC81AC2"/>
    <w:rsid w:val="6AE90ABE"/>
    <w:rsid w:val="6BA41657"/>
    <w:rsid w:val="6C1B7EDC"/>
    <w:rsid w:val="6C5E6516"/>
    <w:rsid w:val="6CD45A02"/>
    <w:rsid w:val="6D8244B7"/>
    <w:rsid w:val="6F5A30A2"/>
    <w:rsid w:val="6F5F5AAD"/>
    <w:rsid w:val="6FF54761"/>
    <w:rsid w:val="701765D3"/>
    <w:rsid w:val="70441BEA"/>
    <w:rsid w:val="709818C4"/>
    <w:rsid w:val="70EA3FA7"/>
    <w:rsid w:val="710431E0"/>
    <w:rsid w:val="71473D41"/>
    <w:rsid w:val="715E6CDC"/>
    <w:rsid w:val="71A9789C"/>
    <w:rsid w:val="721C1859"/>
    <w:rsid w:val="723D1ACB"/>
    <w:rsid w:val="724328D7"/>
    <w:rsid w:val="72E12EB2"/>
    <w:rsid w:val="72EB73D9"/>
    <w:rsid w:val="730269FB"/>
    <w:rsid w:val="73116C6C"/>
    <w:rsid w:val="73270A9A"/>
    <w:rsid w:val="736D2431"/>
    <w:rsid w:val="73880040"/>
    <w:rsid w:val="73CD424E"/>
    <w:rsid w:val="7426269B"/>
    <w:rsid w:val="743C1D69"/>
    <w:rsid w:val="75194C1F"/>
    <w:rsid w:val="762F20B9"/>
    <w:rsid w:val="76A74632"/>
    <w:rsid w:val="76B70EF9"/>
    <w:rsid w:val="76CD60B2"/>
    <w:rsid w:val="7746721F"/>
    <w:rsid w:val="77A67EA0"/>
    <w:rsid w:val="77FC2AE5"/>
    <w:rsid w:val="78CE230E"/>
    <w:rsid w:val="7942376F"/>
    <w:rsid w:val="79454B6C"/>
    <w:rsid w:val="79F155E8"/>
    <w:rsid w:val="7A533B47"/>
    <w:rsid w:val="7B44716B"/>
    <w:rsid w:val="7B734671"/>
    <w:rsid w:val="7C087EE9"/>
    <w:rsid w:val="7CF72961"/>
    <w:rsid w:val="7D2665B1"/>
    <w:rsid w:val="7DFE1CF5"/>
    <w:rsid w:val="7E1013FA"/>
    <w:rsid w:val="7E181F69"/>
    <w:rsid w:val="7E6F11AA"/>
    <w:rsid w:val="7E8D1C0F"/>
    <w:rsid w:val="7EA1168E"/>
    <w:rsid w:val="7F195352"/>
    <w:rsid w:val="B68F5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nhideWhenUsed="0" w:uiPriority="0" w:semiHidden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jc w:val="right"/>
      <w:outlineLvl w:val="0"/>
    </w:pPr>
    <w:rPr>
      <w:sz w:val="28"/>
    </w:rPr>
  </w:style>
  <w:style w:type="paragraph" w:styleId="3">
    <w:name w:val="heading 2"/>
    <w:basedOn w:val="1"/>
    <w:next w:val="1"/>
    <w:qFormat/>
    <w:uiPriority w:val="0"/>
    <w:pPr>
      <w:keepNext/>
      <w:ind w:firstLine="640" w:firstLineChars="200"/>
      <w:jc w:val="center"/>
      <w:outlineLvl w:val="1"/>
    </w:pPr>
    <w:rPr>
      <w:rFonts w:ascii="黑体" w:eastAsia="黑体"/>
      <w:sz w:val="32"/>
    </w:rPr>
  </w:style>
  <w:style w:type="paragraph" w:styleId="4">
    <w:name w:val="heading 3"/>
    <w:basedOn w:val="1"/>
    <w:next w:val="1"/>
    <w:qFormat/>
    <w:uiPriority w:val="0"/>
    <w:pPr>
      <w:keepNext/>
      <w:jc w:val="center"/>
      <w:outlineLvl w:val="2"/>
    </w:pPr>
    <w:rPr>
      <w:sz w:val="32"/>
    </w:rPr>
  </w:style>
  <w:style w:type="paragraph" w:styleId="5">
    <w:name w:val="heading 4"/>
    <w:basedOn w:val="1"/>
    <w:next w:val="1"/>
    <w:qFormat/>
    <w:uiPriority w:val="0"/>
    <w:pPr>
      <w:keepNext/>
      <w:spacing w:before="312" w:beforeLines="100" w:line="640" w:lineRule="exact"/>
      <w:ind w:left="97" w:leftChars="46" w:right="153" w:rightChars="73" w:firstLine="992" w:firstLineChars="280"/>
      <w:outlineLvl w:val="3"/>
    </w:pPr>
    <w:rPr>
      <w:rFonts w:ascii="黑体"/>
      <w:b/>
      <w:bCs/>
      <w:sz w:val="36"/>
    </w:rPr>
  </w:style>
  <w:style w:type="paragraph" w:styleId="6">
    <w:name w:val="heading 7"/>
    <w:basedOn w:val="1"/>
    <w:next w:val="1"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character" w:default="1" w:styleId="25">
    <w:name w:val="Default Paragraph Font"/>
    <w:semiHidden/>
    <w:unhideWhenUsed/>
    <w:qFormat/>
    <w:uiPriority w:val="1"/>
  </w:style>
  <w:style w:type="table" w:default="1" w:styleId="2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caption"/>
    <w:basedOn w:val="1"/>
    <w:next w:val="1"/>
    <w:qFormat/>
    <w:uiPriority w:val="0"/>
    <w:pPr>
      <w:spacing w:before="152" w:after="160"/>
    </w:pPr>
    <w:rPr>
      <w:rFonts w:ascii="Arial" w:hAnsi="Arial" w:eastAsia="黑体" w:cs="Arial"/>
      <w:sz w:val="20"/>
      <w:szCs w:val="20"/>
    </w:rPr>
  </w:style>
  <w:style w:type="paragraph" w:styleId="8">
    <w:name w:val="Document Map"/>
    <w:basedOn w:val="1"/>
    <w:qFormat/>
    <w:uiPriority w:val="0"/>
    <w:pPr>
      <w:shd w:val="clear" w:color="auto" w:fill="000080"/>
    </w:pPr>
  </w:style>
  <w:style w:type="paragraph" w:styleId="9">
    <w:name w:val="annotation text"/>
    <w:basedOn w:val="1"/>
    <w:qFormat/>
    <w:uiPriority w:val="0"/>
    <w:pPr>
      <w:jc w:val="left"/>
    </w:pPr>
  </w:style>
  <w:style w:type="paragraph" w:styleId="10">
    <w:name w:val="Body Text"/>
    <w:basedOn w:val="1"/>
    <w:qFormat/>
    <w:uiPriority w:val="0"/>
    <w:pPr>
      <w:spacing w:after="120"/>
    </w:pPr>
    <w:rPr>
      <w:szCs w:val="20"/>
    </w:rPr>
  </w:style>
  <w:style w:type="paragraph" w:styleId="11">
    <w:name w:val="Body Text Indent"/>
    <w:basedOn w:val="1"/>
    <w:qFormat/>
    <w:uiPriority w:val="0"/>
    <w:pPr>
      <w:ind w:left="359" w:leftChars="171" w:firstLine="480" w:firstLineChars="200"/>
    </w:pPr>
    <w:rPr>
      <w:sz w:val="24"/>
    </w:rPr>
  </w:style>
  <w:style w:type="paragraph" w:styleId="12">
    <w:name w:val="toc 3"/>
    <w:basedOn w:val="1"/>
    <w:next w:val="1"/>
    <w:qFormat/>
    <w:uiPriority w:val="0"/>
    <w:pPr>
      <w:tabs>
        <w:tab w:val="right" w:leader="dot" w:pos="9060"/>
      </w:tabs>
      <w:snapToGrid w:val="0"/>
      <w:spacing w:line="360" w:lineRule="auto"/>
    </w:pPr>
  </w:style>
  <w:style w:type="paragraph" w:styleId="13">
    <w:name w:val="Plain Text"/>
    <w:basedOn w:val="1"/>
    <w:qFormat/>
    <w:uiPriority w:val="0"/>
    <w:rPr>
      <w:rFonts w:ascii="宋体" w:hAnsi="Courier New"/>
      <w:szCs w:val="20"/>
    </w:rPr>
  </w:style>
  <w:style w:type="paragraph" w:styleId="14">
    <w:name w:val="Date"/>
    <w:basedOn w:val="1"/>
    <w:next w:val="1"/>
    <w:qFormat/>
    <w:uiPriority w:val="0"/>
    <w:pPr>
      <w:ind w:left="100" w:leftChars="2500"/>
    </w:pPr>
    <w:rPr>
      <w:rFonts w:ascii="宋体" w:hAnsi="宋体"/>
      <w:sz w:val="28"/>
    </w:rPr>
  </w:style>
  <w:style w:type="paragraph" w:styleId="15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16">
    <w:name w:val="Balloon Text"/>
    <w:basedOn w:val="1"/>
    <w:qFormat/>
    <w:uiPriority w:val="0"/>
    <w:rPr>
      <w:sz w:val="18"/>
      <w:szCs w:val="18"/>
    </w:rPr>
  </w:style>
  <w:style w:type="paragraph" w:styleId="1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qFormat/>
    <w:uiPriority w:val="0"/>
    <w:pPr>
      <w:tabs>
        <w:tab w:val="left" w:pos="420"/>
        <w:tab w:val="right" w:leader="dot" w:pos="8296"/>
      </w:tabs>
      <w:spacing w:before="120" w:after="120"/>
      <w:jc w:val="left"/>
    </w:pPr>
    <w:rPr>
      <w:rFonts w:hAnsi="宋体"/>
      <w:bCs/>
      <w:caps/>
      <w:sz w:val="24"/>
    </w:rPr>
  </w:style>
  <w:style w:type="paragraph" w:styleId="20">
    <w:name w:val="toc 2"/>
    <w:basedOn w:val="1"/>
    <w:next w:val="1"/>
    <w:qFormat/>
    <w:uiPriority w:val="0"/>
    <w:pPr>
      <w:tabs>
        <w:tab w:val="right" w:leader="dot" w:pos="9060"/>
      </w:tabs>
    </w:pPr>
  </w:style>
  <w:style w:type="paragraph" w:styleId="21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22">
    <w:name w:val="annotation subject"/>
    <w:basedOn w:val="9"/>
    <w:next w:val="9"/>
    <w:qFormat/>
    <w:uiPriority w:val="0"/>
    <w:rPr>
      <w:b/>
      <w:bCs/>
    </w:rPr>
  </w:style>
  <w:style w:type="table" w:styleId="24">
    <w:name w:val="Table Grid"/>
    <w:basedOn w:val="2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6">
    <w:name w:val="Strong"/>
    <w:qFormat/>
    <w:uiPriority w:val="0"/>
    <w:rPr>
      <w:rFonts w:ascii="Times New Roman" w:hAnsi="Times New Roman" w:eastAsia="宋体" w:cs="Times New Roman"/>
      <w:b/>
      <w:bCs/>
    </w:rPr>
  </w:style>
  <w:style w:type="character" w:styleId="27">
    <w:name w:val="page number"/>
    <w:basedOn w:val="25"/>
    <w:qFormat/>
    <w:uiPriority w:val="0"/>
    <w:rPr>
      <w:rFonts w:ascii="Times New Roman" w:hAnsi="Times New Roman" w:eastAsia="宋体" w:cs="Times New Roman"/>
    </w:rPr>
  </w:style>
  <w:style w:type="character" w:styleId="28">
    <w:name w:val="Hyperlink"/>
    <w:qFormat/>
    <w:uiPriority w:val="0"/>
    <w:rPr>
      <w:rFonts w:ascii="Times New Roman" w:hAnsi="Times New Roman" w:eastAsia="宋体" w:cs="Times New Roman"/>
      <w:color w:val="0000FF"/>
      <w:u w:val="single"/>
    </w:rPr>
  </w:style>
  <w:style w:type="character" w:styleId="29">
    <w:name w:val="annotation reference"/>
    <w:qFormat/>
    <w:uiPriority w:val="0"/>
    <w:rPr>
      <w:rFonts w:ascii="Times New Roman" w:hAnsi="Times New Roman" w:eastAsia="宋体" w:cs="Times New Roman"/>
      <w:sz w:val="21"/>
      <w:szCs w:val="21"/>
    </w:rPr>
  </w:style>
  <w:style w:type="character" w:styleId="30">
    <w:name w:val="HTML Cite"/>
    <w:qFormat/>
    <w:uiPriority w:val="0"/>
    <w:rPr>
      <w:rFonts w:ascii="Times New Roman" w:hAnsi="Times New Roman" w:eastAsia="宋体" w:cs="Times New Roman"/>
      <w:i/>
      <w:iCs/>
    </w:rPr>
  </w:style>
  <w:style w:type="character" w:customStyle="1" w:styleId="31">
    <w:name w:val="t141"/>
    <w:qFormat/>
    <w:uiPriority w:val="0"/>
    <w:rPr>
      <w:rFonts w:ascii="Times New Roman" w:hAnsi="Times New Roman" w:eastAsia="宋体" w:cs="Times New Roman"/>
      <w:sz w:val="21"/>
      <w:szCs w:val="21"/>
    </w:rPr>
  </w:style>
  <w:style w:type="character" w:customStyle="1" w:styleId="32">
    <w:name w:val="NormalCharacter"/>
    <w:qFormat/>
    <w:uiPriority w:val="0"/>
    <w:rPr>
      <w:rFonts w:ascii="Times New Roman" w:hAnsi="Times New Roman" w:eastAsia="宋体" w:cs="Times New Roman"/>
    </w:rPr>
  </w:style>
  <w:style w:type="paragraph" w:customStyle="1" w:styleId="33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34">
    <w:name w:val="Char Char Char Char Char Char1 Char Char Char 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lang w:eastAsia="en-US"/>
    </w:rPr>
  </w:style>
  <w:style w:type="paragraph" w:styleId="35">
    <w:name w:val="List Paragraph"/>
    <w:basedOn w:val="1"/>
    <w:qFormat/>
    <w:uiPriority w:val="0"/>
    <w:pPr>
      <w:ind w:left="1097" w:hanging="601"/>
    </w:pPr>
    <w:rPr>
      <w:rFonts w:ascii="宋体" w:hAnsi="宋体" w:cs="宋体"/>
      <w:lang w:eastAsia="en-US" w:bidi="en-US"/>
    </w:rPr>
  </w:style>
  <w:style w:type="paragraph" w:customStyle="1" w:styleId="36">
    <w:name w:val="Char"/>
    <w:basedOn w:val="1"/>
    <w:qFormat/>
    <w:uiPriority w:val="0"/>
    <w:pPr>
      <w:numPr>
        <w:ilvl w:val="0"/>
        <w:numId w:val="1"/>
      </w:numPr>
    </w:pPr>
  </w:style>
  <w:style w:type="paragraph" w:customStyle="1" w:styleId="37">
    <w:name w:val="Table Paragraph"/>
    <w:basedOn w:val="1"/>
    <w:qFormat/>
    <w:uiPriority w:val="0"/>
    <w:rPr>
      <w:rFonts w:ascii="宋体" w:hAnsi="宋体" w:cs="宋体"/>
      <w:lang w:eastAsia="en-US" w:bidi="en-US"/>
    </w:rPr>
  </w:style>
  <w:style w:type="paragraph" w:customStyle="1" w:styleId="38">
    <w:name w:val="Heading1"/>
    <w:basedOn w:val="1"/>
    <w:next w:val="1"/>
    <w:qFormat/>
    <w:uiPriority w:val="0"/>
    <w:pPr>
      <w:keepNext/>
      <w:keepLines/>
      <w:widowControl/>
      <w:spacing w:before="340" w:after="330" w:line="578" w:lineRule="auto"/>
      <w:textAlignment w:val="baseline"/>
    </w:pPr>
    <w:rPr>
      <w:b/>
      <w:bCs/>
      <w:kern w:val="44"/>
      <w:sz w:val="44"/>
      <w:szCs w:val="44"/>
    </w:rPr>
  </w:style>
  <w:style w:type="paragraph" w:customStyle="1" w:styleId="39">
    <w:name w:val="封面标准名称"/>
    <w:qFormat/>
    <w:uiPriority w:val="0"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hAnsi="Times New Roman" w:eastAsia="黑体" w:cs="Times New Roman"/>
      <w:sz w:val="52"/>
      <w:lang w:val="en-US" w:eastAsia="zh-CN" w:bidi="ar-SA"/>
    </w:rPr>
  </w:style>
  <w:style w:type="paragraph" w:customStyle="1" w:styleId="40">
    <w:name w:val="Char Char Char Char Char Char1 Char Char Char Char1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lang w:eastAsia="en-US"/>
    </w:rPr>
  </w:style>
  <w:style w:type="table" w:customStyle="1" w:styleId="4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2">
    <w:name w:val="Table Text"/>
    <w:basedOn w:val="1"/>
    <w:semiHidden/>
    <w:qFormat/>
    <w:uiPriority w:val="0"/>
    <w:pPr>
      <w:framePr w:hSpace="180" w:wrap="around" w:vAnchor="text" w:hAnchor="page" w:xAlign="center" w:y="56"/>
      <w:jc w:val="center"/>
    </w:pPr>
    <w:rPr>
      <w:sz w:val="20"/>
      <w:szCs w:val="20"/>
      <w:lang w:eastAsia="en-US"/>
    </w:rPr>
  </w:style>
  <w:style w:type="character" w:customStyle="1" w:styleId="43">
    <w:name w:val="font41"/>
    <w:basedOn w:val="25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4.bin"/><Relationship Id="rId98" Type="http://schemas.openxmlformats.org/officeDocument/2006/relationships/oleObject" Target="embeddings/oleObject43.bin"/><Relationship Id="rId97" Type="http://schemas.openxmlformats.org/officeDocument/2006/relationships/image" Target="media/image40.wmf"/><Relationship Id="rId96" Type="http://schemas.openxmlformats.org/officeDocument/2006/relationships/oleObject" Target="embeddings/oleObject42.bin"/><Relationship Id="rId95" Type="http://schemas.openxmlformats.org/officeDocument/2006/relationships/image" Target="media/image39.wmf"/><Relationship Id="rId94" Type="http://schemas.openxmlformats.org/officeDocument/2006/relationships/oleObject" Target="embeddings/oleObject41.bin"/><Relationship Id="rId93" Type="http://schemas.openxmlformats.org/officeDocument/2006/relationships/image" Target="media/image38.wmf"/><Relationship Id="rId92" Type="http://schemas.openxmlformats.org/officeDocument/2006/relationships/oleObject" Target="embeddings/oleObject40.bin"/><Relationship Id="rId91" Type="http://schemas.openxmlformats.org/officeDocument/2006/relationships/oleObject" Target="embeddings/oleObject39.bin"/><Relationship Id="rId90" Type="http://schemas.openxmlformats.org/officeDocument/2006/relationships/image" Target="media/image37.wmf"/><Relationship Id="rId9" Type="http://schemas.openxmlformats.org/officeDocument/2006/relationships/footer" Target="footer3.xml"/><Relationship Id="rId89" Type="http://schemas.openxmlformats.org/officeDocument/2006/relationships/oleObject" Target="embeddings/oleObject38.bin"/><Relationship Id="rId88" Type="http://schemas.openxmlformats.org/officeDocument/2006/relationships/image" Target="media/image36.wmf"/><Relationship Id="rId87" Type="http://schemas.openxmlformats.org/officeDocument/2006/relationships/oleObject" Target="embeddings/oleObject37.bin"/><Relationship Id="rId86" Type="http://schemas.openxmlformats.org/officeDocument/2006/relationships/image" Target="media/image35.wmf"/><Relationship Id="rId85" Type="http://schemas.openxmlformats.org/officeDocument/2006/relationships/oleObject" Target="embeddings/oleObject36.bin"/><Relationship Id="rId84" Type="http://schemas.openxmlformats.org/officeDocument/2006/relationships/image" Target="media/image34.wmf"/><Relationship Id="rId83" Type="http://schemas.openxmlformats.org/officeDocument/2006/relationships/oleObject" Target="embeddings/oleObject35.bin"/><Relationship Id="rId82" Type="http://schemas.openxmlformats.org/officeDocument/2006/relationships/image" Target="media/image33.wmf"/><Relationship Id="rId81" Type="http://schemas.openxmlformats.org/officeDocument/2006/relationships/oleObject" Target="embeddings/oleObject34.bin"/><Relationship Id="rId80" Type="http://schemas.openxmlformats.org/officeDocument/2006/relationships/image" Target="media/image32.wmf"/><Relationship Id="rId8" Type="http://schemas.openxmlformats.org/officeDocument/2006/relationships/footer" Target="footer2.xml"/><Relationship Id="rId79" Type="http://schemas.openxmlformats.org/officeDocument/2006/relationships/oleObject" Target="embeddings/oleObject33.bin"/><Relationship Id="rId78" Type="http://schemas.openxmlformats.org/officeDocument/2006/relationships/image" Target="media/image31.wmf"/><Relationship Id="rId77" Type="http://schemas.openxmlformats.org/officeDocument/2006/relationships/oleObject" Target="embeddings/oleObject32.bin"/><Relationship Id="rId76" Type="http://schemas.openxmlformats.org/officeDocument/2006/relationships/image" Target="media/image30.wmf"/><Relationship Id="rId75" Type="http://schemas.openxmlformats.org/officeDocument/2006/relationships/oleObject" Target="embeddings/oleObject31.bin"/><Relationship Id="rId74" Type="http://schemas.openxmlformats.org/officeDocument/2006/relationships/image" Target="media/image29.wmf"/><Relationship Id="rId73" Type="http://schemas.openxmlformats.org/officeDocument/2006/relationships/oleObject" Target="embeddings/oleObject30.bin"/><Relationship Id="rId72" Type="http://schemas.openxmlformats.org/officeDocument/2006/relationships/image" Target="media/image28.wmf"/><Relationship Id="rId71" Type="http://schemas.openxmlformats.org/officeDocument/2006/relationships/oleObject" Target="embeddings/oleObject29.bin"/><Relationship Id="rId70" Type="http://schemas.openxmlformats.org/officeDocument/2006/relationships/image" Target="media/image27.wmf"/><Relationship Id="rId7" Type="http://schemas.openxmlformats.org/officeDocument/2006/relationships/footer" Target="footer1.xml"/><Relationship Id="rId69" Type="http://schemas.openxmlformats.org/officeDocument/2006/relationships/oleObject" Target="embeddings/oleObject28.bin"/><Relationship Id="rId68" Type="http://schemas.openxmlformats.org/officeDocument/2006/relationships/oleObject" Target="embeddings/oleObject27.bin"/><Relationship Id="rId67" Type="http://schemas.openxmlformats.org/officeDocument/2006/relationships/oleObject" Target="embeddings/oleObject26.bin"/><Relationship Id="rId66" Type="http://schemas.openxmlformats.org/officeDocument/2006/relationships/image" Target="media/image26.wmf"/><Relationship Id="rId65" Type="http://schemas.openxmlformats.org/officeDocument/2006/relationships/oleObject" Target="embeddings/oleObject25.bin"/><Relationship Id="rId64" Type="http://schemas.openxmlformats.org/officeDocument/2006/relationships/image" Target="media/image25.wmf"/><Relationship Id="rId63" Type="http://schemas.openxmlformats.org/officeDocument/2006/relationships/oleObject" Target="embeddings/oleObject24.bin"/><Relationship Id="rId62" Type="http://schemas.openxmlformats.org/officeDocument/2006/relationships/image" Target="media/image24.wmf"/><Relationship Id="rId61" Type="http://schemas.openxmlformats.org/officeDocument/2006/relationships/oleObject" Target="embeddings/oleObject23.bin"/><Relationship Id="rId60" Type="http://schemas.openxmlformats.org/officeDocument/2006/relationships/image" Target="media/image23.wmf"/><Relationship Id="rId6" Type="http://schemas.openxmlformats.org/officeDocument/2006/relationships/header" Target="header4.xml"/><Relationship Id="rId59" Type="http://schemas.openxmlformats.org/officeDocument/2006/relationships/oleObject" Target="embeddings/oleObject22.bin"/><Relationship Id="rId58" Type="http://schemas.openxmlformats.org/officeDocument/2006/relationships/image" Target="media/image22.wmf"/><Relationship Id="rId57" Type="http://schemas.openxmlformats.org/officeDocument/2006/relationships/oleObject" Target="embeddings/oleObject21.bin"/><Relationship Id="rId56" Type="http://schemas.openxmlformats.org/officeDocument/2006/relationships/image" Target="media/image21.wmf"/><Relationship Id="rId55" Type="http://schemas.openxmlformats.org/officeDocument/2006/relationships/oleObject" Target="embeddings/oleObject20.bin"/><Relationship Id="rId54" Type="http://schemas.openxmlformats.org/officeDocument/2006/relationships/image" Target="media/image20.wmf"/><Relationship Id="rId53" Type="http://schemas.openxmlformats.org/officeDocument/2006/relationships/oleObject" Target="embeddings/oleObject19.bin"/><Relationship Id="rId52" Type="http://schemas.openxmlformats.org/officeDocument/2006/relationships/oleObject" Target="embeddings/oleObject18.bin"/><Relationship Id="rId51" Type="http://schemas.openxmlformats.org/officeDocument/2006/relationships/image" Target="media/image19.wmf"/><Relationship Id="rId50" Type="http://schemas.openxmlformats.org/officeDocument/2006/relationships/oleObject" Target="embeddings/oleObject17.bin"/><Relationship Id="rId5" Type="http://schemas.openxmlformats.org/officeDocument/2006/relationships/header" Target="header3.xml"/><Relationship Id="rId49" Type="http://schemas.openxmlformats.org/officeDocument/2006/relationships/image" Target="media/image18.wmf"/><Relationship Id="rId48" Type="http://schemas.openxmlformats.org/officeDocument/2006/relationships/oleObject" Target="embeddings/oleObject16.bin"/><Relationship Id="rId47" Type="http://schemas.openxmlformats.org/officeDocument/2006/relationships/image" Target="media/image17.wmf"/><Relationship Id="rId46" Type="http://schemas.openxmlformats.org/officeDocument/2006/relationships/oleObject" Target="embeddings/oleObject15.bin"/><Relationship Id="rId45" Type="http://schemas.openxmlformats.org/officeDocument/2006/relationships/image" Target="media/image16.wmf"/><Relationship Id="rId44" Type="http://schemas.openxmlformats.org/officeDocument/2006/relationships/oleObject" Target="embeddings/oleObject14.bin"/><Relationship Id="rId43" Type="http://schemas.openxmlformats.org/officeDocument/2006/relationships/image" Target="media/image15.wmf"/><Relationship Id="rId42" Type="http://schemas.openxmlformats.org/officeDocument/2006/relationships/oleObject" Target="embeddings/oleObject13.bin"/><Relationship Id="rId41" Type="http://schemas.openxmlformats.org/officeDocument/2006/relationships/image" Target="media/image14.wmf"/><Relationship Id="rId40" Type="http://schemas.openxmlformats.org/officeDocument/2006/relationships/oleObject" Target="embeddings/oleObject12.bin"/><Relationship Id="rId4" Type="http://schemas.openxmlformats.org/officeDocument/2006/relationships/header" Target="header2.xml"/><Relationship Id="rId39" Type="http://schemas.openxmlformats.org/officeDocument/2006/relationships/oleObject" Target="embeddings/oleObject11.bin"/><Relationship Id="rId38" Type="http://schemas.openxmlformats.org/officeDocument/2006/relationships/oleObject" Target="embeddings/oleObject10.bin"/><Relationship Id="rId37" Type="http://schemas.openxmlformats.org/officeDocument/2006/relationships/image" Target="media/image13.wmf"/><Relationship Id="rId36" Type="http://schemas.openxmlformats.org/officeDocument/2006/relationships/oleObject" Target="embeddings/oleObject9.bin"/><Relationship Id="rId35" Type="http://schemas.openxmlformats.org/officeDocument/2006/relationships/image" Target="media/image12.wmf"/><Relationship Id="rId34" Type="http://schemas.openxmlformats.org/officeDocument/2006/relationships/oleObject" Target="embeddings/oleObject8.bin"/><Relationship Id="rId33" Type="http://schemas.openxmlformats.org/officeDocument/2006/relationships/image" Target="media/image11.wmf"/><Relationship Id="rId32" Type="http://schemas.openxmlformats.org/officeDocument/2006/relationships/oleObject" Target="embeddings/oleObject7.bin"/><Relationship Id="rId31" Type="http://schemas.openxmlformats.org/officeDocument/2006/relationships/image" Target="media/image10.wmf"/><Relationship Id="rId30" Type="http://schemas.openxmlformats.org/officeDocument/2006/relationships/oleObject" Target="embeddings/oleObject6.bin"/><Relationship Id="rId3" Type="http://schemas.openxmlformats.org/officeDocument/2006/relationships/header" Target="header1.xml"/><Relationship Id="rId29" Type="http://schemas.openxmlformats.org/officeDocument/2006/relationships/image" Target="media/image9.wmf"/><Relationship Id="rId28" Type="http://schemas.openxmlformats.org/officeDocument/2006/relationships/oleObject" Target="embeddings/oleObject5.bin"/><Relationship Id="rId27" Type="http://schemas.openxmlformats.org/officeDocument/2006/relationships/image" Target="media/image8.wmf"/><Relationship Id="rId26" Type="http://schemas.openxmlformats.org/officeDocument/2006/relationships/oleObject" Target="embeddings/oleObject4.bin"/><Relationship Id="rId25" Type="http://schemas.openxmlformats.org/officeDocument/2006/relationships/image" Target="media/image7.wmf"/><Relationship Id="rId24" Type="http://schemas.openxmlformats.org/officeDocument/2006/relationships/oleObject" Target="embeddings/oleObject3.bin"/><Relationship Id="rId23" Type="http://schemas.openxmlformats.org/officeDocument/2006/relationships/image" Target="media/image6.png"/><Relationship Id="rId22" Type="http://schemas.openxmlformats.org/officeDocument/2006/relationships/image" Target="media/image5.png"/><Relationship Id="rId21" Type="http://schemas.openxmlformats.org/officeDocument/2006/relationships/image" Target="media/image4.png"/><Relationship Id="rId20" Type="http://schemas.openxmlformats.org/officeDocument/2006/relationships/image" Target="media/image3.wmf"/><Relationship Id="rId2" Type="http://schemas.openxmlformats.org/officeDocument/2006/relationships/settings" Target="settings.xml"/><Relationship Id="rId19" Type="http://schemas.openxmlformats.org/officeDocument/2006/relationships/oleObject" Target="embeddings/oleObject2.bin"/><Relationship Id="rId18" Type="http://schemas.openxmlformats.org/officeDocument/2006/relationships/image" Target="media/image2.png"/><Relationship Id="rId17" Type="http://schemas.openxmlformats.org/officeDocument/2006/relationships/image" Target="media/image1.png"/><Relationship Id="rId16" Type="http://schemas.openxmlformats.org/officeDocument/2006/relationships/oleObject" Target="embeddings/oleObject1.bin"/><Relationship Id="rId15" Type="http://schemas.openxmlformats.org/officeDocument/2006/relationships/theme" Target="theme/theme1.xml"/><Relationship Id="rId142" Type="http://schemas.openxmlformats.org/officeDocument/2006/relationships/fontTable" Target="fontTable.xml"/><Relationship Id="rId141" Type="http://schemas.openxmlformats.org/officeDocument/2006/relationships/numbering" Target="numbering.xml"/><Relationship Id="rId140" Type="http://schemas.openxmlformats.org/officeDocument/2006/relationships/customXml" Target="../customXml/item1.xml"/><Relationship Id="rId14" Type="http://schemas.openxmlformats.org/officeDocument/2006/relationships/footer" Target="footer6.xml"/><Relationship Id="rId139" Type="http://schemas.openxmlformats.org/officeDocument/2006/relationships/image" Target="media/image55.wmf"/><Relationship Id="rId138" Type="http://schemas.openxmlformats.org/officeDocument/2006/relationships/oleObject" Target="embeddings/oleObject69.bin"/><Relationship Id="rId137" Type="http://schemas.openxmlformats.org/officeDocument/2006/relationships/image" Target="media/image54.wmf"/><Relationship Id="rId136" Type="http://schemas.openxmlformats.org/officeDocument/2006/relationships/oleObject" Target="embeddings/oleObject68.bin"/><Relationship Id="rId135" Type="http://schemas.openxmlformats.org/officeDocument/2006/relationships/image" Target="media/image53.wmf"/><Relationship Id="rId134" Type="http://schemas.openxmlformats.org/officeDocument/2006/relationships/oleObject" Target="embeddings/oleObject67.bin"/><Relationship Id="rId133" Type="http://schemas.openxmlformats.org/officeDocument/2006/relationships/oleObject" Target="embeddings/oleObject66.bin"/><Relationship Id="rId132" Type="http://schemas.openxmlformats.org/officeDocument/2006/relationships/oleObject" Target="embeddings/oleObject65.bin"/><Relationship Id="rId131" Type="http://schemas.openxmlformats.org/officeDocument/2006/relationships/oleObject" Target="embeddings/oleObject64.bin"/><Relationship Id="rId130" Type="http://schemas.openxmlformats.org/officeDocument/2006/relationships/oleObject" Target="embeddings/oleObject63.bin"/><Relationship Id="rId13" Type="http://schemas.openxmlformats.org/officeDocument/2006/relationships/header" Target="header6.xml"/><Relationship Id="rId129" Type="http://schemas.openxmlformats.org/officeDocument/2006/relationships/oleObject" Target="embeddings/oleObject62.bin"/><Relationship Id="rId128" Type="http://schemas.openxmlformats.org/officeDocument/2006/relationships/oleObject" Target="embeddings/oleObject61.bin"/><Relationship Id="rId127" Type="http://schemas.openxmlformats.org/officeDocument/2006/relationships/oleObject" Target="embeddings/oleObject60.bin"/><Relationship Id="rId126" Type="http://schemas.openxmlformats.org/officeDocument/2006/relationships/oleObject" Target="embeddings/oleObject59.bin"/><Relationship Id="rId125" Type="http://schemas.openxmlformats.org/officeDocument/2006/relationships/image" Target="media/image52.wmf"/><Relationship Id="rId124" Type="http://schemas.openxmlformats.org/officeDocument/2006/relationships/oleObject" Target="embeddings/oleObject58.bin"/><Relationship Id="rId123" Type="http://schemas.openxmlformats.org/officeDocument/2006/relationships/image" Target="media/image51.wmf"/><Relationship Id="rId122" Type="http://schemas.openxmlformats.org/officeDocument/2006/relationships/oleObject" Target="embeddings/oleObject57.bin"/><Relationship Id="rId121" Type="http://schemas.openxmlformats.org/officeDocument/2006/relationships/image" Target="media/image50.wmf"/><Relationship Id="rId120" Type="http://schemas.openxmlformats.org/officeDocument/2006/relationships/oleObject" Target="embeddings/oleObject56.bin"/><Relationship Id="rId12" Type="http://schemas.openxmlformats.org/officeDocument/2006/relationships/footer" Target="footer5.xml"/><Relationship Id="rId119" Type="http://schemas.openxmlformats.org/officeDocument/2006/relationships/image" Target="media/image49.wmf"/><Relationship Id="rId118" Type="http://schemas.openxmlformats.org/officeDocument/2006/relationships/oleObject" Target="embeddings/oleObject55.bin"/><Relationship Id="rId117" Type="http://schemas.openxmlformats.org/officeDocument/2006/relationships/image" Target="media/image48.wmf"/><Relationship Id="rId116" Type="http://schemas.openxmlformats.org/officeDocument/2006/relationships/oleObject" Target="embeddings/oleObject54.bin"/><Relationship Id="rId115" Type="http://schemas.openxmlformats.org/officeDocument/2006/relationships/image" Target="media/image47.wmf"/><Relationship Id="rId114" Type="http://schemas.openxmlformats.org/officeDocument/2006/relationships/oleObject" Target="embeddings/oleObject53.bin"/><Relationship Id="rId113" Type="http://schemas.openxmlformats.org/officeDocument/2006/relationships/image" Target="media/image46.wmf"/><Relationship Id="rId112" Type="http://schemas.openxmlformats.org/officeDocument/2006/relationships/oleObject" Target="embeddings/oleObject52.bin"/><Relationship Id="rId111" Type="http://schemas.openxmlformats.org/officeDocument/2006/relationships/image" Target="media/image45.wmf"/><Relationship Id="rId110" Type="http://schemas.openxmlformats.org/officeDocument/2006/relationships/oleObject" Target="embeddings/oleObject51.bin"/><Relationship Id="rId11" Type="http://schemas.openxmlformats.org/officeDocument/2006/relationships/header" Target="header5.xml"/><Relationship Id="rId109" Type="http://schemas.openxmlformats.org/officeDocument/2006/relationships/image" Target="media/image44.wmf"/><Relationship Id="rId108" Type="http://schemas.openxmlformats.org/officeDocument/2006/relationships/oleObject" Target="embeddings/oleObject50.bin"/><Relationship Id="rId107" Type="http://schemas.openxmlformats.org/officeDocument/2006/relationships/image" Target="media/image43.wmf"/><Relationship Id="rId106" Type="http://schemas.openxmlformats.org/officeDocument/2006/relationships/oleObject" Target="embeddings/oleObject49.bin"/><Relationship Id="rId105" Type="http://schemas.openxmlformats.org/officeDocument/2006/relationships/oleObject" Target="embeddings/oleObject48.bin"/><Relationship Id="rId104" Type="http://schemas.openxmlformats.org/officeDocument/2006/relationships/oleObject" Target="embeddings/oleObject47.bin"/><Relationship Id="rId103" Type="http://schemas.openxmlformats.org/officeDocument/2006/relationships/image" Target="media/image42.wmf"/><Relationship Id="rId102" Type="http://schemas.openxmlformats.org/officeDocument/2006/relationships/oleObject" Target="embeddings/oleObject46.bin"/><Relationship Id="rId101" Type="http://schemas.openxmlformats.org/officeDocument/2006/relationships/image" Target="media/image41.wmf"/><Relationship Id="rId100" Type="http://schemas.openxmlformats.org/officeDocument/2006/relationships/oleObject" Target="embeddings/oleObject45.bin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振玲分部</Company>
  <Pages>23</Pages>
  <Words>4891</Words>
  <Characters>8039</Characters>
  <Lines>83</Lines>
  <Paragraphs>23</Paragraphs>
  <TotalTime>10</TotalTime>
  <ScaleCrop>false</ScaleCrop>
  <LinksUpToDate>false</LinksUpToDate>
  <CharactersWithSpaces>8643</CharactersWithSpaces>
  <Application>WPS Office_11.8.2.10552_F1E327BC-269C-435d-A152-05C5408002CA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2020-01-09T10:35:00Z</dcterms:created>
  <dc:creator>jimjim</dc:creator>
  <cp:lastModifiedBy>陈明利</cp:lastModifiedBy>
  <cp:lastPrinted>2024-05-05T11:32:00Z</cp:lastPrinted>
  <dcterms:modified xsi:type="dcterms:W3CDTF">2024-05-23T09:31:17Z</dcterms:modified>
  <dc:title>光滑极限量规检定规程</dc:title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2052-11.8.2.10552</vt:lpwstr>
  </property>
  <property fmtid="{D5CDD505-2E9C-101B-9397-08002B2CF9AE}" pid="3" name="ICV">
    <vt:lpwstr>0A59DE7F9E69420ABF638561B9958A58_13</vt:lpwstr>
  </property>
</Properties>
</file>