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6FFE6"/>
  <w:body>
    <w:p>
      <w:pPr>
        <w:ind w:left="0" w:leftChars="0" w:firstLine="0" w:firstLineChars="0"/>
        <w:jc w:val="left"/>
        <w:rPr>
          <w:rFonts w:hint="eastAsia" w:ascii="黑体" w:hAnsi="黑体" w:eastAsia="黑体" w:cs="黑体"/>
          <w:lang w:eastAsia="zh-CN"/>
        </w:rPr>
      </w:pPr>
      <w:r>
        <w:rPr>
          <w:rFonts w:hint="eastAsia" w:ascii="黑体" w:hAnsi="黑体" w:eastAsia="黑体" w:cs="黑体"/>
          <w:lang w:eastAsia="zh-CN"/>
        </w:rPr>
        <w:t>附件</w:t>
      </w:r>
    </w:p>
    <w:p>
      <w:pPr>
        <w:pStyle w:val="2"/>
        <w:pageBreakBefore w:val="0"/>
        <w:widowControl w:val="0"/>
        <w:kinsoku/>
        <w:wordWrap/>
        <w:overflowPunct/>
        <w:topLinePunct w:val="0"/>
        <w:autoSpaceDE/>
        <w:autoSpaceDN/>
        <w:bidi w:val="0"/>
        <w:adjustRightInd w:val="0"/>
        <w:snapToGrid w:val="0"/>
        <w:spacing w:beforeLines="0" w:afterLines="0" w:line="660" w:lineRule="atLeast"/>
        <w:textAlignment w:val="auto"/>
        <w:rPr>
          <w:rFonts w:hint="eastAsia"/>
          <w:spacing w:val="-20"/>
          <w:lang w:eastAsia="zh-CN"/>
        </w:rPr>
      </w:pPr>
      <w:r>
        <w:rPr>
          <w:rFonts w:hint="eastAsia"/>
          <w:spacing w:val="-20"/>
          <w:lang w:eastAsia="zh-CN"/>
        </w:rPr>
        <w:t>黑龙江省市场监督管理局</w:t>
      </w:r>
    </w:p>
    <w:p>
      <w:pPr>
        <w:pStyle w:val="2"/>
        <w:pageBreakBefore w:val="0"/>
        <w:widowControl w:val="0"/>
        <w:kinsoku/>
        <w:wordWrap/>
        <w:overflowPunct/>
        <w:topLinePunct w:val="0"/>
        <w:autoSpaceDE/>
        <w:autoSpaceDN/>
        <w:bidi w:val="0"/>
        <w:adjustRightInd w:val="0"/>
        <w:snapToGrid w:val="0"/>
        <w:spacing w:beforeLines="0" w:afterLines="0" w:line="660" w:lineRule="atLeast"/>
        <w:textAlignment w:val="auto"/>
        <w:rPr>
          <w:rFonts w:hint="eastAsia"/>
          <w:spacing w:val="-20"/>
          <w:lang w:eastAsia="zh-CN"/>
        </w:rPr>
      </w:pPr>
      <w:r>
        <w:rPr>
          <w:rFonts w:hint="eastAsia"/>
          <w:spacing w:val="-20"/>
          <w:lang w:eastAsia="zh-CN"/>
        </w:rPr>
        <w:t>全面深化“双随机、一公开”监管</w:t>
      </w:r>
    </w:p>
    <w:p>
      <w:pPr>
        <w:pStyle w:val="2"/>
        <w:pageBreakBefore w:val="0"/>
        <w:widowControl w:val="0"/>
        <w:kinsoku/>
        <w:wordWrap/>
        <w:overflowPunct/>
        <w:topLinePunct w:val="0"/>
        <w:autoSpaceDE/>
        <w:autoSpaceDN/>
        <w:bidi w:val="0"/>
        <w:adjustRightInd w:val="0"/>
        <w:snapToGrid w:val="0"/>
        <w:spacing w:beforeLines="0" w:afterLines="0" w:line="660" w:lineRule="atLeast"/>
        <w:textAlignment w:val="auto"/>
        <w:rPr>
          <w:rFonts w:hint="eastAsia" w:eastAsia="方正小标宋简体" w:cs="方正小标宋简体"/>
          <w:spacing w:val="-20"/>
          <w:w w:val="100"/>
          <w:szCs w:val="44"/>
          <w:lang w:eastAsia="zh-CN"/>
        </w:rPr>
      </w:pPr>
      <w:r>
        <w:rPr>
          <w:rFonts w:hint="eastAsia"/>
          <w:spacing w:val="-20"/>
          <w:lang w:eastAsia="zh-CN"/>
        </w:rPr>
        <w:t>规范涉企行政检查</w:t>
      </w:r>
      <w:r>
        <w:rPr>
          <w:rFonts w:hint="eastAsia"/>
          <w:spacing w:val="-20"/>
          <w:lang w:val="en-US" w:eastAsia="zh-CN"/>
        </w:rPr>
        <w:t xml:space="preserve">  </w:t>
      </w:r>
      <w:r>
        <w:rPr>
          <w:rFonts w:hint="eastAsia"/>
          <w:spacing w:val="-20"/>
          <w:lang w:eastAsia="zh-CN"/>
        </w:rPr>
        <w:t>服务龙江高质量发展实施方案</w:t>
      </w:r>
    </w:p>
    <w:p>
      <w:pPr>
        <w:keepNext w:val="0"/>
        <w:keepLines w:val="0"/>
        <w:pageBreakBefore w:val="0"/>
        <w:widowControl w:val="0"/>
        <w:kinsoku/>
        <w:wordWrap/>
        <w:overflowPunct/>
        <w:topLinePunct w:val="0"/>
        <w:autoSpaceDE/>
        <w:autoSpaceDN/>
        <w:bidi w:val="0"/>
        <w:adjustRightInd w:val="0"/>
        <w:snapToGrid w:val="0"/>
        <w:spacing w:line="660" w:lineRule="atLeast"/>
        <w:jc w:val="left"/>
        <w:textAlignment w:val="auto"/>
        <w:outlineLvl w:val="9"/>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为贯彻落实《市场监管总局关于全面深化“双随机、一公开”监管规范涉企行政检查服务高质量发展的意见》（国市监信规</w:t>
      </w:r>
      <w:r>
        <w:rPr>
          <w:rFonts w:hint="default" w:ascii="Times New Roman" w:hAnsi="Times New Roman" w:eastAsia="仿宋" w:cs="Times New Roman"/>
          <w:sz w:val="32"/>
          <w:szCs w:val="32"/>
          <w:lang w:val="en-US" w:eastAsia="zh-CN"/>
        </w:rPr>
        <w:t>〔2024〕5</w:t>
      </w:r>
      <w:r>
        <w:rPr>
          <w:rFonts w:hint="eastAsia" w:ascii="仿宋" w:hAnsi="仿宋" w:eastAsia="仿宋" w:cs="仿宋"/>
          <w:sz w:val="32"/>
          <w:szCs w:val="32"/>
          <w:lang w:val="en-US" w:eastAsia="zh-CN"/>
        </w:rPr>
        <w:t>号），进一步健全完善“双随机、一公开”监管机制，</w:t>
      </w:r>
      <w:r>
        <w:rPr>
          <w:rFonts w:hint="eastAsia" w:ascii="仿宋" w:hAnsi="仿宋" w:cs="仿宋"/>
          <w:sz w:val="32"/>
          <w:szCs w:val="32"/>
          <w:lang w:val="en-US" w:eastAsia="zh-CN"/>
        </w:rPr>
        <w:t>规范涉企检查，</w:t>
      </w:r>
      <w:r>
        <w:rPr>
          <w:rFonts w:hint="eastAsia" w:ascii="仿宋" w:hAnsi="仿宋" w:eastAsia="仿宋" w:cs="仿宋"/>
          <w:sz w:val="32"/>
          <w:szCs w:val="32"/>
          <w:lang w:val="en-US" w:eastAsia="zh-CN"/>
        </w:rPr>
        <w:t>减轻企业负担，</w:t>
      </w:r>
      <w:r>
        <w:rPr>
          <w:rFonts w:hint="eastAsia" w:ascii="仿宋" w:hAnsi="仿宋" w:cs="仿宋"/>
          <w:sz w:val="32"/>
          <w:szCs w:val="32"/>
          <w:lang w:val="en-US" w:eastAsia="zh-CN"/>
        </w:rPr>
        <w:t>提升</w:t>
      </w:r>
      <w:r>
        <w:rPr>
          <w:rFonts w:hint="eastAsia" w:ascii="仿宋" w:hAnsi="仿宋" w:eastAsia="仿宋" w:cs="仿宋"/>
          <w:sz w:val="32"/>
          <w:szCs w:val="32"/>
          <w:lang w:val="en-US" w:eastAsia="zh-CN"/>
        </w:rPr>
        <w:t>监管效能，优化营商环境</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更好服务龙江高质量发展，制定本方案。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以习近平新时代中国特色社会主义思想为指导，按照市场监管总局“讲政治、强监管、促发展、保安全”总体工作思路，秉持监管为民理念，以夯实基础为重点，以创新路径为手段，以规范检查为</w:t>
      </w:r>
      <w:r>
        <w:rPr>
          <w:rFonts w:hint="eastAsia" w:ascii="仿宋" w:hAnsi="仿宋" w:cs="仿宋"/>
          <w:sz w:val="32"/>
          <w:szCs w:val="32"/>
          <w:lang w:val="en-US" w:eastAsia="zh-CN"/>
        </w:rPr>
        <w:t>导向</w:t>
      </w:r>
      <w:r>
        <w:rPr>
          <w:rFonts w:hint="eastAsia" w:ascii="仿宋" w:hAnsi="仿宋" w:eastAsia="仿宋" w:cs="仿宋"/>
          <w:sz w:val="32"/>
          <w:szCs w:val="32"/>
          <w:lang w:val="en-US" w:eastAsia="zh-CN"/>
        </w:rPr>
        <w:t>，以</w:t>
      </w:r>
      <w:r>
        <w:rPr>
          <w:rFonts w:hint="eastAsia" w:ascii="仿宋" w:hAnsi="仿宋" w:cs="仿宋"/>
          <w:sz w:val="32"/>
          <w:szCs w:val="32"/>
          <w:lang w:val="en-US" w:eastAsia="zh-CN"/>
        </w:rPr>
        <w:t>优化环境</w:t>
      </w:r>
      <w:r>
        <w:rPr>
          <w:rFonts w:hint="eastAsia" w:ascii="仿宋" w:hAnsi="仿宋" w:eastAsia="仿宋" w:cs="仿宋"/>
          <w:sz w:val="32"/>
          <w:szCs w:val="32"/>
          <w:lang w:val="en-US" w:eastAsia="zh-CN"/>
        </w:rPr>
        <w:t>为目标，在市场监管部门</w:t>
      </w:r>
      <w:r>
        <w:rPr>
          <w:rFonts w:hint="eastAsia" w:ascii="仿宋" w:hAnsi="仿宋" w:cs="仿宋"/>
          <w:sz w:val="32"/>
          <w:szCs w:val="32"/>
          <w:lang w:val="en-US" w:eastAsia="zh-CN"/>
        </w:rPr>
        <w:t>和市场监管领域</w:t>
      </w:r>
      <w:r>
        <w:rPr>
          <w:rFonts w:hint="eastAsia" w:ascii="仿宋" w:hAnsi="仿宋" w:eastAsia="仿宋" w:cs="仿宋"/>
          <w:sz w:val="32"/>
          <w:szCs w:val="32"/>
          <w:lang w:val="en-US" w:eastAsia="zh-CN"/>
        </w:rPr>
        <w:t>“双随机、一公开”监管全覆盖常态化基础上，致力于提高监管公平性、规范性、简约性，突出监管精准性、靶向性、有效性，打造“无事不扰”“无处不在”监管模式，避免随意检查、多头检查、重复检查,切实减少对经营主体正常生产经营活动的干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二、持续夯基固本提质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eastAsia="楷体"/>
          <w:sz w:val="32"/>
          <w:szCs w:val="32"/>
        </w:rPr>
      </w:pPr>
      <w:r>
        <w:rPr>
          <w:rStyle w:val="12"/>
          <w:rFonts w:hint="eastAsia" w:eastAsia="楷体"/>
          <w:sz w:val="32"/>
          <w:szCs w:val="32"/>
        </w:rPr>
        <w:t>（</w:t>
      </w:r>
      <w:r>
        <w:rPr>
          <w:rStyle w:val="12"/>
          <w:rFonts w:hint="eastAsia" w:eastAsia="楷体"/>
          <w:sz w:val="32"/>
          <w:szCs w:val="32"/>
          <w:lang w:eastAsia="zh-CN"/>
        </w:rPr>
        <w:t>一</w:t>
      </w:r>
      <w:r>
        <w:rPr>
          <w:rStyle w:val="12"/>
          <w:rFonts w:hint="eastAsia" w:eastAsia="楷体"/>
          <w:sz w:val="32"/>
          <w:szCs w:val="32"/>
        </w:rPr>
        <w:t>）进一步提升平台应用质量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cs="Times New Roman"/>
          <w:lang w:val="en-US" w:eastAsia="zh-CN"/>
        </w:rPr>
      </w:pPr>
      <w:r>
        <w:rPr>
          <w:rFonts w:hint="eastAsia" w:ascii="仿宋" w:hAnsi="仿宋" w:eastAsia="仿宋" w:cs="仿宋"/>
          <w:sz w:val="32"/>
          <w:szCs w:val="32"/>
        </w:rPr>
        <w:t>省市场监管局负责按照总局技术方案和标准规范改造</w:t>
      </w:r>
      <w:r>
        <w:rPr>
          <w:rFonts w:hint="eastAsia" w:ascii="仿宋" w:hAnsi="仿宋" w:cs="仿宋"/>
          <w:sz w:val="32"/>
          <w:szCs w:val="32"/>
          <w:lang w:eastAsia="zh-CN"/>
        </w:rPr>
        <w:t>黑龙江省事中事后综合监管系统（以下简称</w:t>
      </w:r>
      <w:r>
        <w:rPr>
          <w:rFonts w:hint="eastAsia" w:ascii="仿宋" w:hAnsi="仿宋" w:eastAsia="仿宋" w:cs="仿宋"/>
          <w:sz w:val="32"/>
          <w:szCs w:val="32"/>
        </w:rPr>
        <w:t>综合监管系统</w:t>
      </w:r>
      <w:r>
        <w:rPr>
          <w:rFonts w:hint="eastAsia" w:ascii="仿宋" w:hAnsi="仿宋" w:cs="仿宋"/>
          <w:sz w:val="32"/>
          <w:szCs w:val="32"/>
          <w:lang w:eastAsia="zh-CN"/>
        </w:rPr>
        <w:t>）</w:t>
      </w:r>
      <w:r>
        <w:rPr>
          <w:rFonts w:hint="eastAsia" w:ascii="仿宋" w:hAnsi="仿宋" w:eastAsia="仿宋" w:cs="仿宋"/>
          <w:sz w:val="32"/>
          <w:szCs w:val="32"/>
        </w:rPr>
        <w:t>，优化</w:t>
      </w:r>
      <w:r>
        <w:rPr>
          <w:rFonts w:hint="eastAsia" w:ascii="仿宋" w:hAnsi="仿宋" w:cs="仿宋"/>
          <w:sz w:val="32"/>
          <w:szCs w:val="32"/>
          <w:lang w:eastAsia="zh-CN"/>
        </w:rPr>
        <w:t>系统功能</w:t>
      </w:r>
      <w:r>
        <w:rPr>
          <w:rFonts w:hint="eastAsia" w:ascii="仿宋" w:hAnsi="仿宋" w:eastAsia="仿宋" w:cs="仿宋"/>
          <w:sz w:val="32"/>
          <w:szCs w:val="32"/>
        </w:rPr>
        <w:t>，新增执法人员回避范围标注、调整检查结果类型、与执法办案系统及“双随机、一公开”监管全国一体化平台对接、抽查检查结果</w:t>
      </w:r>
      <w:r>
        <w:rPr>
          <w:rFonts w:hint="eastAsia" w:ascii="仿宋" w:hAnsi="仿宋" w:cs="仿宋"/>
          <w:sz w:val="32"/>
          <w:szCs w:val="32"/>
          <w:lang w:eastAsia="zh-CN"/>
        </w:rPr>
        <w:t>公示信息</w:t>
      </w:r>
      <w:r>
        <w:rPr>
          <w:rFonts w:hint="eastAsia" w:ascii="仿宋" w:hAnsi="仿宋" w:eastAsia="仿宋" w:cs="仿宋"/>
          <w:sz w:val="32"/>
          <w:szCs w:val="32"/>
        </w:rPr>
        <w:t>修复等功能，进一步提升平台实用性和易用性。</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（二）进一步提升“一单两库”质量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仿宋" w:hAnsi="仿宋" w:cs="仿宋"/>
          <w:b/>
          <w:bCs/>
          <w:sz w:val="32"/>
          <w:szCs w:val="32"/>
          <w:lang w:val="en-US" w:eastAsia="zh-CN"/>
        </w:rPr>
        <w:t>一要提升清单质量。</w:t>
      </w:r>
      <w:r>
        <w:rPr>
          <w:rFonts w:hint="eastAsia" w:ascii="仿宋" w:hAnsi="仿宋" w:eastAsia="仿宋" w:cs="仿宋"/>
          <w:sz w:val="32"/>
          <w:szCs w:val="32"/>
          <w:lang w:val="en-US" w:eastAsia="zh-CN"/>
        </w:rPr>
        <w:t>省市场监管局负责在《黑龙江省市场监管系统双随机抽查事项清单（第一版）》基础上，根据法律、法规、规章立改废释和工作实际</w:t>
      </w:r>
      <w:r>
        <w:rPr>
          <w:rFonts w:hint="eastAsia" w:ascii="仿宋" w:hAnsi="仿宋" w:cs="仿宋"/>
          <w:sz w:val="32"/>
          <w:szCs w:val="32"/>
          <w:lang w:val="en-US" w:eastAsia="zh-CN"/>
        </w:rPr>
        <w:t>需要</w:t>
      </w:r>
      <w:r>
        <w:rPr>
          <w:rFonts w:hint="eastAsia" w:ascii="仿宋" w:hAnsi="仿宋" w:eastAsia="仿宋" w:cs="仿宋"/>
          <w:sz w:val="32"/>
          <w:szCs w:val="32"/>
          <w:lang w:val="en-US" w:eastAsia="zh-CN"/>
        </w:rPr>
        <w:t>对清单进行动态调整，并及时通过相关网站和平台向社会公开。有立法权的</w:t>
      </w:r>
      <w:r>
        <w:rPr>
          <w:rFonts w:hint="eastAsia" w:ascii="仿宋" w:hAnsi="仿宋" w:cs="仿宋"/>
          <w:sz w:val="32"/>
          <w:szCs w:val="32"/>
          <w:lang w:val="en-US" w:eastAsia="zh-CN"/>
        </w:rPr>
        <w:t>地方</w:t>
      </w:r>
      <w:r>
        <w:rPr>
          <w:rFonts w:hint="eastAsia" w:ascii="仿宋" w:hAnsi="仿宋" w:eastAsia="仿宋" w:cs="仿宋"/>
          <w:sz w:val="32"/>
          <w:szCs w:val="32"/>
          <w:lang w:val="en-US" w:eastAsia="zh-CN"/>
        </w:rPr>
        <w:t>人大法规、政府规章规定的适用“双随机、一公开”方式的检查事项且超出</w:t>
      </w:r>
      <w:r>
        <w:rPr>
          <w:rFonts w:hint="eastAsia" w:ascii="仿宋" w:hAnsi="仿宋" w:cs="仿宋"/>
          <w:sz w:val="32"/>
          <w:szCs w:val="32"/>
          <w:lang w:val="en-US" w:eastAsia="zh-CN"/>
        </w:rPr>
        <w:t>我</w:t>
      </w:r>
      <w:r>
        <w:rPr>
          <w:rFonts w:hint="eastAsia" w:ascii="仿宋" w:hAnsi="仿宋" w:eastAsia="仿宋" w:cs="仿宋"/>
          <w:sz w:val="32"/>
          <w:szCs w:val="32"/>
          <w:lang w:val="en-US" w:eastAsia="zh-CN"/>
        </w:rPr>
        <w:t>省</w:t>
      </w:r>
      <w:r>
        <w:rPr>
          <w:rFonts w:hint="eastAsia" w:ascii="仿宋" w:hAnsi="仿宋" w:cs="仿宋"/>
          <w:sz w:val="32"/>
          <w:szCs w:val="32"/>
          <w:lang w:val="en-US" w:eastAsia="zh-CN"/>
        </w:rPr>
        <w:t>清单</w:t>
      </w:r>
      <w:r>
        <w:rPr>
          <w:rFonts w:hint="eastAsia" w:ascii="仿宋" w:hAnsi="仿宋" w:eastAsia="仿宋" w:cs="仿宋"/>
          <w:sz w:val="32"/>
          <w:szCs w:val="32"/>
          <w:lang w:val="en-US" w:eastAsia="zh-CN"/>
        </w:rPr>
        <w:t>范围的，由相关市场监管部门上报省市场监管局纳入清单管理，在</w:t>
      </w:r>
      <w:r>
        <w:rPr>
          <w:rFonts w:hint="eastAsia" w:ascii="仿宋" w:hAnsi="仿宋" w:cs="仿宋"/>
          <w:sz w:val="32"/>
          <w:szCs w:val="32"/>
          <w:lang w:val="en-US" w:eastAsia="zh-CN"/>
        </w:rPr>
        <w:t>对应</w:t>
      </w:r>
      <w:r>
        <w:rPr>
          <w:rFonts w:hint="eastAsia" w:ascii="仿宋" w:hAnsi="仿宋" w:eastAsia="仿宋" w:cs="仿宋"/>
          <w:sz w:val="32"/>
          <w:szCs w:val="32"/>
          <w:lang w:val="en-US" w:eastAsia="zh-CN"/>
        </w:rPr>
        <w:t>行政区域内执行。</w:t>
      </w:r>
      <w:r>
        <w:rPr>
          <w:rFonts w:hint="eastAsia" w:ascii="仿宋" w:hAnsi="仿宋" w:cs="仿宋"/>
          <w:sz w:val="32"/>
          <w:szCs w:val="32"/>
          <w:lang w:val="en-US" w:eastAsia="zh-CN"/>
        </w:rPr>
        <w:t>部门联查事项清单由省市场监管局统一管理，根据实际动态更新。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lang w:val="en-US" w:eastAsia="zh-CN"/>
        </w:rPr>
      </w:pPr>
      <w:r>
        <w:rPr>
          <w:rFonts w:hint="eastAsia" w:ascii="仿宋" w:hAnsi="仿宋" w:cs="仿宋"/>
          <w:b/>
          <w:bCs/>
          <w:sz w:val="32"/>
          <w:szCs w:val="32"/>
          <w:lang w:val="en-US" w:eastAsia="zh-CN"/>
        </w:rPr>
        <w:t>二要提升“对象库”质量。</w:t>
      </w:r>
      <w:r>
        <w:rPr>
          <w:rFonts w:hint="eastAsia" w:ascii="仿宋" w:hAnsi="仿宋" w:eastAsia="仿宋" w:cs="仿宋"/>
          <w:sz w:val="32"/>
          <w:szCs w:val="32"/>
          <w:lang w:val="en-US" w:eastAsia="zh-CN"/>
        </w:rPr>
        <w:t>省市场监管局负责依托黑龙江省智慧市场监管一体化平台实现按照业务类别或业态、品类、载体、规模等业务管理需要的分类标准</w:t>
      </w:r>
      <w:r>
        <w:rPr>
          <w:rFonts w:hint="eastAsia" w:ascii="仿宋" w:hAnsi="仿宋" w:cs="仿宋"/>
          <w:sz w:val="32"/>
          <w:szCs w:val="32"/>
          <w:lang w:val="en-US" w:eastAsia="zh-CN"/>
        </w:rPr>
        <w:t>及</w:t>
      </w:r>
      <w:r>
        <w:rPr>
          <w:rFonts w:hint="eastAsia" w:ascii="仿宋" w:hAnsi="仿宋" w:eastAsia="仿宋" w:cs="仿宋"/>
          <w:sz w:val="32"/>
          <w:szCs w:val="32"/>
          <w:lang w:val="en-US" w:eastAsia="zh-CN"/>
        </w:rPr>
        <w:t>应用场景对</w:t>
      </w:r>
      <w:r>
        <w:rPr>
          <w:rFonts w:hint="eastAsia" w:ascii="仿宋" w:hAnsi="仿宋" w:cs="仿宋"/>
          <w:sz w:val="32"/>
          <w:szCs w:val="32"/>
          <w:lang w:val="en-US" w:eastAsia="zh-CN"/>
        </w:rPr>
        <w:t>检查对象进行标签化管理</w:t>
      </w:r>
      <w:r>
        <w:rPr>
          <w:rFonts w:hint="eastAsia" w:ascii="仿宋" w:hAnsi="仿宋" w:eastAsia="仿宋" w:cs="仿宋"/>
          <w:sz w:val="32"/>
          <w:szCs w:val="32"/>
          <w:lang w:val="en-US" w:eastAsia="zh-CN"/>
        </w:rPr>
        <w:t>，构建从监管事项到监管对象的有效映射与精确索引。每个</w:t>
      </w:r>
      <w:r>
        <w:rPr>
          <w:rFonts w:hint="eastAsia" w:ascii="仿宋" w:hAnsi="仿宋" w:cs="仿宋"/>
          <w:sz w:val="32"/>
          <w:szCs w:val="32"/>
          <w:lang w:val="en-US" w:eastAsia="zh-CN"/>
        </w:rPr>
        <w:t>检查对象</w:t>
      </w:r>
      <w:r>
        <w:rPr>
          <w:rFonts w:hint="eastAsia" w:ascii="仿宋" w:hAnsi="仿宋" w:eastAsia="仿宋" w:cs="仿宋"/>
          <w:sz w:val="32"/>
          <w:szCs w:val="32"/>
          <w:lang w:val="en-US" w:eastAsia="zh-CN"/>
        </w:rPr>
        <w:t>可以有若干个标签。标签类目根据监管实际需要统筹设定并动态管理。</w:t>
      </w:r>
      <w:r>
        <w:rPr>
          <w:rFonts w:hint="eastAsia" w:ascii="仿宋" w:hAnsi="仿宋" w:cs="仿宋"/>
          <w:sz w:val="32"/>
          <w:szCs w:val="32"/>
          <w:lang w:val="en-US" w:eastAsia="zh-CN"/>
        </w:rPr>
        <w:t>各</w:t>
      </w:r>
      <w:r>
        <w:rPr>
          <w:rFonts w:hint="eastAsia" w:ascii="仿宋" w:hAnsi="仿宋" w:eastAsia="仿宋" w:cs="仿宋"/>
          <w:sz w:val="32"/>
          <w:szCs w:val="32"/>
          <w:lang w:val="en-US" w:eastAsia="zh-CN"/>
        </w:rPr>
        <w:t>级市场监管部门要</w:t>
      </w:r>
      <w:r>
        <w:rPr>
          <w:rFonts w:hint="eastAsia" w:ascii="仿宋" w:hAnsi="仿宋" w:cs="仿宋"/>
          <w:sz w:val="32"/>
          <w:szCs w:val="32"/>
          <w:lang w:val="en-US" w:eastAsia="zh-CN"/>
        </w:rPr>
        <w:t>进一步提升内部及成员单位基础工作质量。要督促成员单位建立符合实际情况的检查对象名库录，</w:t>
      </w:r>
      <w:r>
        <w:rPr>
          <w:rFonts w:hint="eastAsia" w:ascii="仿宋" w:hAnsi="仿宋" w:eastAsia="仿宋" w:cs="仿宋"/>
          <w:sz w:val="32"/>
          <w:szCs w:val="32"/>
          <w:lang w:val="en-US" w:eastAsia="zh-CN"/>
        </w:rPr>
        <w:t>应用标签识别</w:t>
      </w:r>
      <w:r>
        <w:rPr>
          <w:rFonts w:hint="eastAsia" w:ascii="仿宋" w:hAnsi="仿宋" w:cs="仿宋"/>
          <w:sz w:val="32"/>
          <w:szCs w:val="32"/>
          <w:lang w:val="en-US" w:eastAsia="zh-CN"/>
        </w:rPr>
        <w:t>检查对象</w:t>
      </w:r>
      <w:r>
        <w:rPr>
          <w:rFonts w:hint="eastAsia" w:ascii="仿宋" w:hAnsi="仿宋" w:eastAsia="仿宋" w:cs="仿宋"/>
          <w:sz w:val="32"/>
          <w:szCs w:val="32"/>
          <w:lang w:val="en-US" w:eastAsia="zh-CN"/>
        </w:rPr>
        <w:t>监管特征，实施精准监管</w:t>
      </w:r>
      <w:r>
        <w:rPr>
          <w:rFonts w:hint="eastAsia" w:ascii="仿宋" w:hAnsi="仿宋" w:cs="仿宋"/>
          <w:sz w:val="32"/>
          <w:szCs w:val="32"/>
          <w:lang w:val="en-US" w:eastAsia="zh-CN"/>
        </w:rPr>
        <w:t>，并根据检查对象变动情况对检查对象名录库实施动态管理。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sz w:val="32"/>
          <w:szCs w:val="32"/>
          <w:lang w:eastAsia="zh-CN"/>
        </w:rPr>
        <w:t>三</w:t>
      </w:r>
      <w:r>
        <w:rPr>
          <w:rFonts w:hint="eastAsia" w:ascii="仿宋" w:hAnsi="仿宋" w:cs="仿宋"/>
          <w:b/>
          <w:sz w:val="32"/>
          <w:szCs w:val="32"/>
        </w:rPr>
        <w:t>要提升“</w:t>
      </w:r>
      <w:r>
        <w:rPr>
          <w:rFonts w:hint="eastAsia" w:ascii="仿宋" w:hAnsi="仿宋" w:cs="仿宋"/>
          <w:b/>
          <w:sz w:val="32"/>
          <w:szCs w:val="32"/>
          <w:lang w:eastAsia="zh-CN"/>
        </w:rPr>
        <w:t>人员</w:t>
      </w:r>
      <w:r>
        <w:rPr>
          <w:rFonts w:hint="eastAsia" w:ascii="仿宋" w:hAnsi="仿宋" w:cs="仿宋"/>
          <w:b/>
          <w:sz w:val="32"/>
          <w:szCs w:val="32"/>
        </w:rPr>
        <w:t>库”质量。</w:t>
      </w:r>
      <w:r>
        <w:rPr>
          <w:rFonts w:hint="eastAsia" w:ascii="仿宋" w:hAnsi="仿宋" w:cs="仿宋"/>
          <w:sz w:val="32"/>
          <w:szCs w:val="32"/>
          <w:lang w:val="en-US" w:eastAsia="zh-CN"/>
        </w:rPr>
        <w:t>要准确掌握黑龙江省行政执法监督工作平台中同级各政府部门</w:t>
      </w:r>
      <w:r>
        <w:rPr>
          <w:rFonts w:hint="eastAsia" w:ascii="仿宋" w:hAnsi="仿宋" w:eastAsia="仿宋" w:cs="仿宋"/>
          <w:sz w:val="32"/>
          <w:szCs w:val="32"/>
          <w:lang w:val="en-US" w:eastAsia="zh-CN"/>
        </w:rPr>
        <w:t>执法人员实时数据</w:t>
      </w:r>
      <w:r>
        <w:rPr>
          <w:rFonts w:hint="eastAsia"/>
          <w:lang w:val="en-US" w:eastAsia="zh-CN"/>
        </w:rPr>
        <w:t>及执法证发放情况</w:t>
      </w:r>
      <w:r>
        <w:rPr>
          <w:rFonts w:hint="eastAsia" w:ascii="仿宋" w:hAnsi="仿宋" w:eastAsia="仿宋" w:cs="仿宋"/>
          <w:sz w:val="32"/>
          <w:szCs w:val="32"/>
          <w:lang w:val="en-US" w:eastAsia="zh-CN"/>
        </w:rPr>
        <w:t>，</w:t>
      </w:r>
      <w:r>
        <w:rPr>
          <w:rFonts w:hint="eastAsia" w:ascii="仿宋" w:hAnsi="仿宋" w:cs="仿宋"/>
          <w:sz w:val="32"/>
          <w:szCs w:val="32"/>
          <w:lang w:val="en-US" w:eastAsia="zh-CN"/>
        </w:rPr>
        <w:t>确保“有证”</w:t>
      </w:r>
      <w:r>
        <w:rPr>
          <w:rFonts w:hint="eastAsia" w:ascii="仿宋" w:hAnsi="仿宋" w:eastAsia="仿宋" w:cs="仿宋"/>
          <w:sz w:val="32"/>
          <w:szCs w:val="32"/>
          <w:lang w:val="en-US" w:eastAsia="zh-CN"/>
        </w:rPr>
        <w:t>执法检查人员应</w:t>
      </w:r>
      <w:r>
        <w:rPr>
          <w:rFonts w:hint="eastAsia" w:ascii="仿宋" w:hAnsi="仿宋" w:cs="仿宋"/>
          <w:sz w:val="32"/>
          <w:szCs w:val="32"/>
          <w:lang w:val="en-US" w:eastAsia="zh-CN"/>
        </w:rPr>
        <w:t>入库</w:t>
      </w:r>
      <w:r>
        <w:rPr>
          <w:rFonts w:hint="eastAsia" w:ascii="仿宋" w:hAnsi="仿宋" w:eastAsia="仿宋" w:cs="仿宋"/>
          <w:sz w:val="32"/>
          <w:szCs w:val="32"/>
          <w:lang w:val="en-US" w:eastAsia="zh-CN"/>
        </w:rPr>
        <w:t>尽入库，</w:t>
      </w:r>
      <w:r>
        <w:rPr>
          <w:rFonts w:hint="eastAsia" w:ascii="仿宋" w:hAnsi="仿宋" w:cs="仿宋"/>
          <w:sz w:val="32"/>
          <w:szCs w:val="32"/>
          <w:lang w:val="en-US" w:eastAsia="zh-CN"/>
        </w:rPr>
        <w:t>其他从事日常监管工作的人员能入库尽入库，</w:t>
      </w:r>
      <w:r>
        <w:rPr>
          <w:rFonts w:hint="eastAsia" w:ascii="仿宋" w:hAnsi="仿宋" w:eastAsia="仿宋" w:cs="仿宋"/>
          <w:sz w:val="32"/>
          <w:szCs w:val="32"/>
          <w:lang w:val="en-US" w:eastAsia="zh-CN"/>
        </w:rPr>
        <w:t>进一步缓解“双随机、一公开”监管人员不足问题。</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对检查人员业务专长、执法资质、回避范围等进行标注，</w:t>
      </w:r>
      <w:r>
        <w:rPr>
          <w:rFonts w:hint="eastAsia"/>
          <w:lang w:val="en-US" w:eastAsia="zh-CN"/>
        </w:rPr>
        <w:t>对人员性质进行分类，</w:t>
      </w:r>
      <w:r>
        <w:rPr>
          <w:rFonts w:hint="eastAsia" w:ascii="仿宋" w:hAnsi="仿宋" w:cs="仿宋"/>
          <w:sz w:val="32"/>
          <w:szCs w:val="32"/>
          <w:lang w:val="en-US" w:eastAsia="zh-CN"/>
        </w:rPr>
        <w:t>并</w:t>
      </w:r>
      <w:r>
        <w:rPr>
          <w:rFonts w:hint="eastAsia" w:ascii="仿宋" w:hAnsi="仿宋" w:eastAsia="仿宋" w:cs="仿宋"/>
          <w:sz w:val="32"/>
          <w:szCs w:val="32"/>
          <w:lang w:val="en-US" w:eastAsia="zh-CN"/>
        </w:rPr>
        <w:t>根据人员</w:t>
      </w:r>
      <w:r>
        <w:rPr>
          <w:rFonts w:hint="eastAsia"/>
          <w:lang w:val="en-US" w:eastAsia="zh-CN"/>
        </w:rPr>
        <w:t>落编、退休、调转等</w:t>
      </w:r>
      <w:r>
        <w:rPr>
          <w:rFonts w:hint="eastAsia" w:ascii="仿宋" w:hAnsi="仿宋" w:eastAsia="仿宋" w:cs="仿宋"/>
          <w:sz w:val="32"/>
          <w:szCs w:val="32"/>
          <w:lang w:val="en-US" w:eastAsia="zh-CN"/>
        </w:rPr>
        <w:t>变动情况，对</w:t>
      </w:r>
      <w:r>
        <w:rPr>
          <w:rFonts w:hint="eastAsia" w:ascii="仿宋" w:hAnsi="仿宋" w:cs="仿宋"/>
          <w:sz w:val="32"/>
          <w:szCs w:val="32"/>
          <w:lang w:val="en-US" w:eastAsia="zh-CN"/>
        </w:rPr>
        <w:t>执法检查人员名录库实施</w:t>
      </w:r>
      <w:r>
        <w:rPr>
          <w:rFonts w:hint="eastAsia" w:ascii="仿宋" w:hAnsi="仿宋" w:eastAsia="仿宋" w:cs="仿宋"/>
          <w:sz w:val="32"/>
          <w:szCs w:val="32"/>
          <w:lang w:val="en-US" w:eastAsia="zh-CN"/>
        </w:rPr>
        <w:t>动态管理。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（三）进一步提升年度计划质量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一要</w:t>
      </w:r>
      <w:r>
        <w:rPr>
          <w:rFonts w:hint="eastAsia" w:ascii="仿宋" w:hAnsi="仿宋" w:eastAsia="仿宋" w:cs="仿宋"/>
          <w:b/>
          <w:bCs/>
          <w:sz w:val="32"/>
          <w:szCs w:val="32"/>
          <w:lang w:val="en-US" w:eastAsia="zh-CN"/>
        </w:rPr>
        <w:t>分类制定</w:t>
      </w:r>
      <w:r>
        <w:rPr>
          <w:rFonts w:hint="eastAsia" w:ascii="仿宋" w:hAnsi="仿宋" w:cs="仿宋"/>
          <w:b/>
          <w:bCs/>
          <w:sz w:val="32"/>
          <w:szCs w:val="32"/>
          <w:lang w:val="en-US" w:eastAsia="zh-CN"/>
        </w:rPr>
        <w:t>。</w:t>
      </w:r>
      <w:r>
        <w:rPr>
          <w:rFonts w:hint="eastAsia" w:ascii="仿宋" w:hAnsi="仿宋" w:cs="仿宋"/>
          <w:b w:val="0"/>
          <w:bCs w:val="0"/>
          <w:sz w:val="32"/>
          <w:szCs w:val="32"/>
          <w:lang w:val="en-US" w:eastAsia="zh-CN"/>
        </w:rPr>
        <w:t>要</w:t>
      </w:r>
      <w:r>
        <w:rPr>
          <w:rFonts w:hint="eastAsia" w:ascii="仿宋" w:hAnsi="仿宋" w:eastAsia="仿宋" w:cs="仿宋"/>
          <w:sz w:val="32"/>
          <w:szCs w:val="32"/>
          <w:lang w:val="en-US" w:eastAsia="zh-CN"/>
        </w:rPr>
        <w:t>全面应用</w:t>
      </w:r>
      <w:r>
        <w:rPr>
          <w:rFonts w:hint="eastAsia" w:ascii="仿宋" w:hAnsi="仿宋" w:cs="仿宋"/>
          <w:sz w:val="32"/>
          <w:szCs w:val="32"/>
          <w:lang w:val="en-US" w:eastAsia="zh-CN"/>
        </w:rPr>
        <w:t>信用风险</w:t>
      </w:r>
      <w:r>
        <w:rPr>
          <w:rFonts w:hint="eastAsia" w:ascii="仿宋" w:hAnsi="仿宋" w:eastAsia="仿宋" w:cs="仿宋"/>
          <w:sz w:val="32"/>
          <w:szCs w:val="32"/>
          <w:lang w:val="en-US" w:eastAsia="zh-CN"/>
        </w:rPr>
        <w:t>分类结果制定市场监管系统内部抽查计划及部门联查计划，合理确定抽查比例</w:t>
      </w:r>
      <w:r>
        <w:rPr>
          <w:rFonts w:hint="eastAsia" w:ascii="仿宋" w:hAnsi="仿宋" w:cs="仿宋"/>
          <w:sz w:val="32"/>
          <w:szCs w:val="32"/>
          <w:lang w:val="en-US" w:eastAsia="zh-CN"/>
        </w:rPr>
        <w:t>和</w:t>
      </w:r>
      <w:r>
        <w:rPr>
          <w:rFonts w:hint="eastAsia" w:ascii="仿宋" w:hAnsi="仿宋" w:eastAsia="仿宋" w:cs="仿宋"/>
          <w:sz w:val="32"/>
          <w:szCs w:val="32"/>
          <w:lang w:val="en-US" w:eastAsia="zh-CN"/>
        </w:rPr>
        <w:t>频次，实施分类监管。合理安排一般检查</w:t>
      </w:r>
      <w:r>
        <w:rPr>
          <w:rFonts w:hint="eastAsia" w:ascii="仿宋" w:hAnsi="仿宋" w:cs="仿宋"/>
          <w:sz w:val="32"/>
          <w:szCs w:val="32"/>
          <w:lang w:val="en-US" w:eastAsia="zh-CN"/>
        </w:rPr>
        <w:t>事项</w:t>
      </w:r>
      <w:r>
        <w:rPr>
          <w:rFonts w:hint="eastAsia" w:ascii="仿宋" w:hAnsi="仿宋" w:eastAsia="仿宋" w:cs="仿宋"/>
          <w:sz w:val="32"/>
          <w:szCs w:val="32"/>
          <w:lang w:val="en-US" w:eastAsia="zh-CN"/>
        </w:rPr>
        <w:t>和重点检查</w:t>
      </w:r>
      <w:r>
        <w:rPr>
          <w:rFonts w:hint="eastAsia" w:ascii="仿宋" w:hAnsi="仿宋" w:cs="仿宋"/>
          <w:sz w:val="32"/>
          <w:szCs w:val="32"/>
          <w:lang w:val="en-US" w:eastAsia="zh-CN"/>
        </w:rPr>
        <w:t>事项</w:t>
      </w:r>
      <w:r>
        <w:rPr>
          <w:rFonts w:hint="eastAsia" w:ascii="仿宋" w:hAnsi="仿宋" w:eastAsia="仿宋" w:cs="仿宋"/>
          <w:sz w:val="32"/>
          <w:szCs w:val="32"/>
          <w:lang w:val="en-US" w:eastAsia="zh-CN"/>
        </w:rPr>
        <w:t>抽查比例。一般检查事项抽查比例根据监管实际设置</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重点检查事项抽查比例不设上限</w:t>
      </w:r>
      <w:r>
        <w:rPr>
          <w:rFonts w:hint="eastAsia" w:ascii="仿宋" w:hAnsi="仿宋" w:cs="仿宋"/>
          <w:sz w:val="32"/>
          <w:szCs w:val="32"/>
          <w:lang w:val="en-US" w:eastAsia="zh-CN"/>
        </w:rPr>
        <w:t>。</w:t>
      </w:r>
      <w:r>
        <w:rPr>
          <w:rFonts w:hint="default" w:ascii="Times New Roman" w:hAnsi="Times New Roman" w:eastAsia="仿宋" w:cs="Times New Roman"/>
          <w:sz w:val="32"/>
          <w:szCs w:val="32"/>
          <w:lang w:val="en-US" w:eastAsia="zh-CN"/>
        </w:rPr>
        <w:t>一般情况下，对一般领域A类市场主体，抽查比例可设定为1%≤X≤3%</w:t>
      </w:r>
      <w:r>
        <w:rPr>
          <w:rFonts w:hint="eastAsia" w:cs="Times New Roman"/>
          <w:sz w:val="32"/>
          <w:szCs w:val="32"/>
          <w:lang w:val="en-US" w:eastAsia="zh-CN"/>
        </w:rPr>
        <w:t>；</w:t>
      </w:r>
      <w:r>
        <w:rPr>
          <w:rFonts w:hint="default" w:ascii="Times New Roman" w:hAnsi="Times New Roman" w:eastAsia="仿宋" w:cs="Times New Roman"/>
          <w:sz w:val="32"/>
          <w:szCs w:val="32"/>
          <w:lang w:val="en-US" w:eastAsia="zh-CN"/>
        </w:rPr>
        <w:t>对一般领域B类市场主体，抽查比例可设定为3%≤X≤5%</w:t>
      </w:r>
      <w:r>
        <w:rPr>
          <w:rFonts w:hint="eastAsia" w:cs="Times New Roman"/>
          <w:sz w:val="32"/>
          <w:szCs w:val="32"/>
          <w:lang w:val="en-US" w:eastAsia="zh-CN"/>
        </w:rPr>
        <w:t>；</w:t>
      </w:r>
      <w:r>
        <w:rPr>
          <w:rFonts w:hint="default" w:ascii="Times New Roman" w:hAnsi="Times New Roman" w:eastAsia="仿宋" w:cs="Times New Roman"/>
          <w:sz w:val="32"/>
          <w:szCs w:val="32"/>
          <w:lang w:val="en-US" w:eastAsia="zh-CN"/>
        </w:rPr>
        <w:t>对一般领域C类市场主体，抽查比例可设定为20%≤X≤50%</w:t>
      </w:r>
      <w:r>
        <w:rPr>
          <w:rFonts w:hint="eastAsia" w:cs="Times New Roman"/>
          <w:sz w:val="32"/>
          <w:szCs w:val="32"/>
          <w:lang w:val="en-US" w:eastAsia="zh-CN"/>
        </w:rPr>
        <w:t>；</w:t>
      </w:r>
      <w:r>
        <w:rPr>
          <w:rFonts w:hint="default" w:ascii="Times New Roman" w:hAnsi="Times New Roman" w:eastAsia="仿宋" w:cs="Times New Roman"/>
          <w:sz w:val="32"/>
          <w:szCs w:val="32"/>
          <w:lang w:val="en-US" w:eastAsia="zh-CN"/>
        </w:rPr>
        <w:t>对一般领域D类市场主体，抽查比例可设定为50%≤X≤100%</w:t>
      </w:r>
      <w:r>
        <w:rPr>
          <w:rFonts w:hint="eastAsia" w:cs="Times New Roman"/>
          <w:sz w:val="32"/>
          <w:szCs w:val="32"/>
          <w:lang w:val="en-US" w:eastAsia="zh-CN"/>
        </w:rPr>
        <w:t>。</w:t>
      </w:r>
      <w:r>
        <w:rPr>
          <w:rFonts w:hint="eastAsia" w:ascii="仿宋" w:hAnsi="仿宋" w:cs="仿宋"/>
          <w:sz w:val="32"/>
          <w:szCs w:val="32"/>
          <w:lang w:val="en-US" w:eastAsia="zh-CN"/>
        </w:rPr>
        <w:t>必要时，对一般领域</w:t>
      </w:r>
      <w:r>
        <w:rPr>
          <w:rFonts w:hint="default" w:ascii="Times New Roman" w:hAnsi="Times New Roman" w:cs="Times New Roman"/>
          <w:sz w:val="32"/>
          <w:szCs w:val="32"/>
          <w:lang w:val="en-US" w:eastAsia="zh-CN"/>
        </w:rPr>
        <w:t>D</w:t>
      </w:r>
      <w:r>
        <w:rPr>
          <w:rFonts w:hint="eastAsia" w:ascii="仿宋" w:hAnsi="仿宋" w:cs="仿宋"/>
          <w:sz w:val="32"/>
          <w:szCs w:val="32"/>
          <w:lang w:val="en-US" w:eastAsia="zh-CN"/>
        </w:rPr>
        <w:t>类市场主体及重点检查事项相关市场主体，可多次进行检查。年度内，一般检查事项和重点检查事项被抽取检查对象合计</w:t>
      </w:r>
      <w:r>
        <w:rPr>
          <w:rFonts w:hint="eastAsia" w:ascii="仿宋" w:hAnsi="仿宋" w:eastAsia="仿宋" w:cs="仿宋"/>
          <w:sz w:val="32"/>
          <w:szCs w:val="32"/>
          <w:lang w:val="en-US" w:eastAsia="zh-CN"/>
        </w:rPr>
        <w:t>应不低于辖区</w:t>
      </w:r>
      <w:r>
        <w:rPr>
          <w:rFonts w:hint="eastAsia" w:ascii="仿宋" w:hAnsi="仿宋" w:cs="仿宋"/>
          <w:sz w:val="32"/>
          <w:szCs w:val="32"/>
          <w:lang w:val="en-US" w:eastAsia="zh-CN"/>
        </w:rPr>
        <w:t>企业</w:t>
      </w:r>
      <w:r>
        <w:rPr>
          <w:rFonts w:hint="eastAsia" w:ascii="仿宋" w:hAnsi="仿宋" w:eastAsia="仿宋" w:cs="仿宋"/>
          <w:sz w:val="32"/>
          <w:szCs w:val="32"/>
          <w:lang w:val="en-US" w:eastAsia="zh-CN"/>
        </w:rPr>
        <w:t>总数的</w:t>
      </w:r>
      <w:r>
        <w:rPr>
          <w:rFonts w:hint="default" w:ascii="Times New Roman" w:hAnsi="Times New Roman" w:eastAsia="仿宋" w:cs="Times New Roman"/>
          <w:sz w:val="32"/>
          <w:szCs w:val="32"/>
          <w:lang w:val="en-US" w:eastAsia="zh-CN"/>
        </w:rPr>
        <w:t>5%</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二要</w:t>
      </w:r>
      <w:r>
        <w:rPr>
          <w:rFonts w:hint="eastAsia" w:ascii="仿宋" w:hAnsi="仿宋" w:eastAsia="仿宋" w:cs="仿宋"/>
          <w:b/>
          <w:bCs/>
          <w:sz w:val="32"/>
          <w:szCs w:val="32"/>
          <w:lang w:val="en-US" w:eastAsia="zh-CN"/>
        </w:rPr>
        <w:t>防控风险。</w:t>
      </w:r>
      <w:r>
        <w:rPr>
          <w:rFonts w:hint="eastAsia" w:ascii="仿宋" w:hAnsi="仿宋" w:cs="仿宋"/>
          <w:sz w:val="32"/>
          <w:szCs w:val="32"/>
          <w:lang w:val="en-US" w:eastAsia="zh-CN"/>
        </w:rPr>
        <w:t>要针对</w:t>
      </w:r>
      <w:r>
        <w:rPr>
          <w:rFonts w:hint="eastAsia" w:ascii="仿宋" w:hAnsi="仿宋" w:eastAsia="仿宋" w:cs="仿宋"/>
          <w:sz w:val="32"/>
          <w:szCs w:val="32"/>
          <w:lang w:val="en-US" w:eastAsia="zh-CN"/>
        </w:rPr>
        <w:t>企业信用风险分类管理系统预警事项制定检查</w:t>
      </w:r>
      <w:r>
        <w:rPr>
          <w:rFonts w:hint="eastAsia" w:ascii="仿宋" w:hAnsi="仿宋" w:cs="仿宋"/>
          <w:sz w:val="32"/>
          <w:szCs w:val="32"/>
          <w:lang w:val="en-US" w:eastAsia="zh-CN"/>
        </w:rPr>
        <w:t>任务</w:t>
      </w:r>
      <w:r>
        <w:rPr>
          <w:rFonts w:hint="eastAsia" w:ascii="仿宋" w:hAnsi="仿宋" w:eastAsia="仿宋" w:cs="仿宋"/>
          <w:sz w:val="32"/>
          <w:szCs w:val="32"/>
          <w:lang w:val="en-US" w:eastAsia="zh-CN"/>
        </w:rPr>
        <w:t>，确保风险早发现，问题早处置，防范于未然。要坚持问题导向，聚焦失信造假等行为，针对风险高、舆情社情</w:t>
      </w:r>
      <w:r>
        <w:rPr>
          <w:rFonts w:hint="eastAsia" w:ascii="仿宋" w:hAnsi="仿宋" w:cs="仿宋"/>
          <w:sz w:val="32"/>
          <w:szCs w:val="32"/>
          <w:lang w:val="en-US" w:eastAsia="zh-CN"/>
        </w:rPr>
        <w:t>集中</w:t>
      </w:r>
      <w:r>
        <w:rPr>
          <w:rFonts w:hint="eastAsia" w:ascii="仿宋" w:hAnsi="仿宋" w:eastAsia="仿宋" w:cs="仿宋"/>
          <w:sz w:val="32"/>
          <w:szCs w:val="32"/>
          <w:lang w:val="en-US" w:eastAsia="zh-CN"/>
        </w:rPr>
        <w:t>、投诉举报较多、人民群众满意度低的区域、行业，</w:t>
      </w:r>
      <w:r>
        <w:rPr>
          <w:rFonts w:hint="eastAsia" w:ascii="仿宋" w:hAnsi="仿宋" w:cs="仿宋"/>
          <w:sz w:val="32"/>
          <w:szCs w:val="32"/>
          <w:lang w:val="en-US" w:eastAsia="zh-CN"/>
        </w:rPr>
        <w:t>实施</w:t>
      </w:r>
      <w:r>
        <w:rPr>
          <w:rFonts w:hint="eastAsia" w:ascii="仿宋" w:hAnsi="仿宋" w:eastAsia="仿宋" w:cs="仿宋"/>
          <w:sz w:val="32"/>
          <w:szCs w:val="32"/>
          <w:lang w:val="en-US" w:eastAsia="zh-CN"/>
        </w:rPr>
        <w:t>定向抽查重点监管，提升双随机</w:t>
      </w:r>
      <w:r>
        <w:rPr>
          <w:rFonts w:hint="eastAsia" w:ascii="仿宋" w:hAnsi="仿宋" w:cs="仿宋"/>
          <w:sz w:val="32"/>
          <w:szCs w:val="32"/>
          <w:lang w:val="en-US" w:eastAsia="zh-CN"/>
        </w:rPr>
        <w:t>监管</w:t>
      </w:r>
      <w:r>
        <w:rPr>
          <w:rFonts w:hint="eastAsia" w:ascii="仿宋" w:hAnsi="仿宋" w:eastAsia="仿宋" w:cs="仿宋"/>
          <w:sz w:val="32"/>
          <w:szCs w:val="32"/>
          <w:lang w:val="en-US" w:eastAsia="zh-CN"/>
        </w:rPr>
        <w:t>靶向性和精准性，确保不发生系统性、区域性风险。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三要</w:t>
      </w:r>
      <w:r>
        <w:rPr>
          <w:rFonts w:hint="eastAsia" w:ascii="仿宋" w:hAnsi="仿宋" w:eastAsia="仿宋" w:cs="仿宋"/>
          <w:b/>
          <w:bCs/>
          <w:sz w:val="32"/>
          <w:szCs w:val="32"/>
          <w:lang w:val="en-US" w:eastAsia="zh-CN"/>
        </w:rPr>
        <w:t>全面覆盖。</w:t>
      </w:r>
      <w:r>
        <w:rPr>
          <w:rFonts w:hint="eastAsia" w:ascii="仿宋" w:hAnsi="仿宋" w:eastAsia="仿宋" w:cs="仿宋"/>
          <w:sz w:val="32"/>
          <w:szCs w:val="32"/>
          <w:lang w:val="en-US" w:eastAsia="zh-CN"/>
        </w:rPr>
        <w:t>要结合省</w:t>
      </w:r>
      <w:r>
        <w:rPr>
          <w:rFonts w:hint="eastAsia" w:ascii="仿宋" w:hAnsi="仿宋" w:cs="仿宋"/>
          <w:sz w:val="32"/>
          <w:szCs w:val="32"/>
          <w:lang w:val="en-US" w:eastAsia="zh-CN"/>
        </w:rPr>
        <w:t>级</w:t>
      </w:r>
      <w:r>
        <w:rPr>
          <w:rFonts w:hint="eastAsia" w:ascii="仿宋" w:hAnsi="仿宋" w:eastAsia="仿宋" w:cs="仿宋"/>
          <w:sz w:val="32"/>
          <w:szCs w:val="32"/>
          <w:lang w:val="en-US" w:eastAsia="zh-CN"/>
        </w:rPr>
        <w:t>统筹派发的抽查任务和本地实际，制定本级年度抽查计划。</w:t>
      </w:r>
      <w:r>
        <w:rPr>
          <w:rFonts w:hint="eastAsia" w:ascii="仿宋" w:hAnsi="仿宋" w:cs="仿宋"/>
          <w:sz w:val="32"/>
          <w:szCs w:val="32"/>
          <w:lang w:val="en-US" w:eastAsia="zh-CN"/>
        </w:rPr>
        <w:t>部门</w:t>
      </w:r>
      <w:r>
        <w:rPr>
          <w:rFonts w:hint="eastAsia" w:ascii="仿宋" w:hAnsi="仿宋" w:eastAsia="仿宋" w:cs="仿宋"/>
          <w:sz w:val="32"/>
          <w:szCs w:val="32"/>
          <w:lang w:val="en-US" w:eastAsia="zh-CN"/>
        </w:rPr>
        <w:t>联查计划省市县三级</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覆盖</w:t>
      </w:r>
      <w:r>
        <w:rPr>
          <w:rFonts w:hint="eastAsia" w:ascii="仿宋" w:hAnsi="仿宋" w:cs="仿宋"/>
          <w:sz w:val="32"/>
          <w:szCs w:val="32"/>
          <w:lang w:val="en-US" w:eastAsia="zh-CN"/>
        </w:rPr>
        <w:t>《黑龙江省市场监管领域部门联合双随机“一业一查”事项清单暨部门联查事项清单（第四版）》确定的</w:t>
      </w:r>
      <w:r>
        <w:rPr>
          <w:rFonts w:hint="default" w:ascii="Times New Roman" w:hAnsi="Times New Roman" w:eastAsia="仿宋" w:cs="Times New Roman"/>
          <w:sz w:val="32"/>
          <w:szCs w:val="32"/>
          <w:lang w:val="en-US" w:eastAsia="zh-CN"/>
        </w:rPr>
        <w:t>89</w:t>
      </w:r>
      <w:r>
        <w:rPr>
          <w:rFonts w:hint="eastAsia" w:ascii="仿宋" w:hAnsi="仿宋" w:cs="仿宋"/>
          <w:sz w:val="32"/>
          <w:szCs w:val="32"/>
          <w:lang w:val="en-US" w:eastAsia="zh-CN"/>
        </w:rPr>
        <w:t>类</w:t>
      </w:r>
      <w:r>
        <w:rPr>
          <w:rFonts w:hint="eastAsia" w:ascii="仿宋" w:hAnsi="仿宋" w:eastAsia="仿宋" w:cs="仿宋"/>
          <w:sz w:val="32"/>
          <w:szCs w:val="32"/>
          <w:lang w:val="en-US" w:eastAsia="zh-CN"/>
        </w:rPr>
        <w:t>综合监管事项，市场监管部门内部计划省市县三级</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覆盖</w:t>
      </w:r>
      <w:r>
        <w:rPr>
          <w:rFonts w:hint="eastAsia" w:ascii="仿宋" w:hAnsi="仿宋" w:cs="仿宋"/>
          <w:sz w:val="32"/>
          <w:szCs w:val="32"/>
          <w:lang w:val="en-US" w:eastAsia="zh-CN"/>
        </w:rPr>
        <w:t>《黑龙江省市场监管系统双随机抽查事项清单（第一版）》确定的</w:t>
      </w:r>
      <w:r>
        <w:rPr>
          <w:rFonts w:hint="default" w:ascii="Times New Roman" w:hAnsi="Times New Roman" w:eastAsia="仿宋" w:cs="Times New Roman"/>
          <w:sz w:val="32"/>
          <w:szCs w:val="32"/>
          <w:lang w:val="en-US" w:eastAsia="zh-CN"/>
        </w:rPr>
        <w:t>77</w:t>
      </w:r>
      <w:r>
        <w:rPr>
          <w:rFonts w:hint="eastAsia" w:ascii="仿宋" w:hAnsi="仿宋" w:eastAsia="仿宋" w:cs="仿宋"/>
          <w:sz w:val="32"/>
          <w:szCs w:val="32"/>
          <w:lang w:val="en-US" w:eastAsia="zh-CN"/>
        </w:rPr>
        <w:t>个检查事项。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楷体" w:cs="仿宋"/>
          <w:sz w:val="32"/>
          <w:szCs w:val="32"/>
          <w:lang w:val="en-US" w:eastAsia="zh-CN"/>
        </w:rPr>
      </w:pPr>
      <w:r>
        <w:rPr>
          <w:rFonts w:hint="eastAsia" w:ascii="仿宋" w:hAnsi="仿宋" w:cs="仿宋"/>
          <w:b/>
          <w:bCs/>
          <w:sz w:val="32"/>
          <w:szCs w:val="32"/>
          <w:lang w:val="en-US" w:eastAsia="zh-CN"/>
        </w:rPr>
        <w:t>四要</w:t>
      </w:r>
      <w:r>
        <w:rPr>
          <w:rFonts w:hint="eastAsia" w:ascii="仿宋" w:hAnsi="仿宋" w:eastAsia="仿宋" w:cs="仿宋"/>
          <w:b/>
          <w:bCs/>
          <w:sz w:val="32"/>
          <w:szCs w:val="32"/>
          <w:lang w:val="en-US" w:eastAsia="zh-CN"/>
        </w:rPr>
        <w:t>统筹实施。</w:t>
      </w:r>
      <w:r>
        <w:rPr>
          <w:rFonts w:hint="eastAsia" w:ascii="仿宋" w:hAnsi="仿宋" w:eastAsia="仿宋" w:cs="仿宋"/>
          <w:sz w:val="32"/>
          <w:szCs w:val="32"/>
          <w:lang w:val="en-US" w:eastAsia="zh-CN"/>
        </w:rPr>
        <w:t>要统筹本部门各条线抽查任务，科学整合检查事项，切实减少对市场主体正常生产经营活动的打扰，实现“进一次门</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查多项事”。对随机抽查事项涉及的监管领域，原则上不再部署专项检查和“全覆盖”式巡查。除法律法规规章另有规定外，市场监管部门在同一年度内对信用风险低的同一</w:t>
      </w:r>
      <w:r>
        <w:rPr>
          <w:rFonts w:hint="eastAsia" w:ascii="仿宋" w:hAnsi="仿宋" w:cs="仿宋"/>
          <w:sz w:val="32"/>
          <w:szCs w:val="32"/>
          <w:lang w:val="en-US" w:eastAsia="zh-CN"/>
        </w:rPr>
        <w:t>市场</w:t>
      </w:r>
      <w:r>
        <w:rPr>
          <w:rFonts w:hint="eastAsia" w:ascii="仿宋" w:hAnsi="仿宋" w:eastAsia="仿宋" w:cs="仿宋"/>
          <w:sz w:val="32"/>
          <w:szCs w:val="32"/>
          <w:lang w:val="en-US" w:eastAsia="zh-CN"/>
        </w:rPr>
        <w:t>主体，原则上不得重复抽查。</w:t>
      </w:r>
      <w:r>
        <w:rPr>
          <w:rFonts w:hint="eastAsia" w:ascii="仿宋" w:hAnsi="仿宋" w:cs="仿宋"/>
          <w:sz w:val="32"/>
          <w:szCs w:val="32"/>
          <w:lang w:val="en-US" w:eastAsia="zh-CN"/>
        </w:rPr>
        <w:t>要统筹部门联查和内部抽查，以部门联查为常态、单独检查为例外，联查覆盖的事项，原则上不再制定部门单独实施的内部抽查任务，切实提升联查任务和联查对象占比。</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sz w:val="32"/>
          <w:szCs w:val="32"/>
        </w:rPr>
      </w:pPr>
      <w:r>
        <w:rPr>
          <w:rFonts w:hint="eastAsia" w:ascii="仿宋" w:hAnsi="仿宋" w:cs="仿宋"/>
          <w:b/>
          <w:bCs/>
          <w:sz w:val="32"/>
          <w:szCs w:val="32"/>
          <w:lang w:val="en-US" w:eastAsia="zh-CN"/>
        </w:rPr>
        <w:t>五要逐级报备。</w:t>
      </w:r>
      <w:r>
        <w:rPr>
          <w:rFonts w:hint="default" w:ascii="Times New Roman" w:hAnsi="Times New Roman" w:eastAsia="仿宋" w:cs="Times New Roman"/>
          <w:sz w:val="32"/>
          <w:szCs w:val="32"/>
          <w:lang w:val="en-US" w:eastAsia="zh-CN"/>
        </w:rPr>
        <w:t>每年</w:t>
      </w:r>
      <w:r>
        <w:rPr>
          <w:rFonts w:hint="default" w:ascii="Times New Roman" w:hAnsi="Times New Roman" w:cs="Times New Roman"/>
          <w:sz w:val="32"/>
          <w:szCs w:val="32"/>
          <w:lang w:val="en-US" w:eastAsia="zh-CN"/>
        </w:rPr>
        <w:t>1</w:t>
      </w:r>
      <w:r>
        <w:rPr>
          <w:rFonts w:hint="default" w:ascii="Times New Roman" w:hAnsi="Times New Roman" w:eastAsia="仿宋" w:cs="Times New Roman"/>
          <w:sz w:val="32"/>
          <w:szCs w:val="32"/>
          <w:lang w:val="en-US" w:eastAsia="zh-CN"/>
        </w:rPr>
        <w:t>月底前，逐级制定</w:t>
      </w:r>
      <w:r>
        <w:rPr>
          <w:rFonts w:hint="eastAsia" w:cs="Times New Roman"/>
          <w:sz w:val="32"/>
          <w:szCs w:val="32"/>
          <w:lang w:val="en-US" w:eastAsia="zh-CN"/>
        </w:rPr>
        <w:t>、</w:t>
      </w:r>
      <w:r>
        <w:rPr>
          <w:rFonts w:hint="default" w:ascii="Times New Roman" w:hAnsi="Times New Roman" w:eastAsia="仿宋" w:cs="Times New Roman"/>
          <w:sz w:val="32"/>
          <w:szCs w:val="32"/>
          <w:lang w:val="en-US" w:eastAsia="zh-CN"/>
        </w:rPr>
        <w:t>报备市场监管</w:t>
      </w:r>
      <w:r>
        <w:rPr>
          <w:rFonts w:hint="default" w:ascii="Times New Roman" w:hAnsi="Times New Roman" w:cs="Times New Roman"/>
          <w:sz w:val="32"/>
          <w:szCs w:val="32"/>
          <w:lang w:val="en-US" w:eastAsia="zh-CN"/>
        </w:rPr>
        <w:t>领域部门联合</w:t>
      </w:r>
      <w:r>
        <w:rPr>
          <w:rFonts w:hint="default" w:ascii="Times New Roman" w:hAnsi="Times New Roman" w:eastAsia="仿宋" w:cs="Times New Roman"/>
          <w:sz w:val="32"/>
          <w:szCs w:val="32"/>
          <w:lang w:val="en-US" w:eastAsia="zh-CN"/>
        </w:rPr>
        <w:t>抽查计划，3月底前，</w:t>
      </w:r>
      <w:r>
        <w:rPr>
          <w:rFonts w:hint="default" w:ascii="Times New Roman" w:hAnsi="Times New Roman" w:cs="Times New Roman"/>
          <w:sz w:val="32"/>
          <w:szCs w:val="32"/>
          <w:lang w:val="en-US" w:eastAsia="zh-CN"/>
        </w:rPr>
        <w:t>逐级制定</w:t>
      </w:r>
      <w:r>
        <w:rPr>
          <w:rFonts w:hint="eastAsia" w:cs="Times New Roman"/>
          <w:sz w:val="32"/>
          <w:szCs w:val="32"/>
          <w:lang w:val="en-US" w:eastAsia="zh-CN"/>
        </w:rPr>
        <w:t>、</w:t>
      </w:r>
      <w:r>
        <w:rPr>
          <w:rFonts w:hint="default" w:ascii="Times New Roman" w:hAnsi="Times New Roman" w:cs="Times New Roman"/>
          <w:sz w:val="32"/>
          <w:szCs w:val="32"/>
          <w:lang w:val="en-US" w:eastAsia="zh-CN"/>
        </w:rPr>
        <w:t>报备</w:t>
      </w:r>
      <w:r>
        <w:rPr>
          <w:rFonts w:hint="default" w:ascii="Times New Roman" w:hAnsi="Times New Roman" w:eastAsia="仿宋" w:cs="Times New Roman"/>
          <w:sz w:val="32"/>
          <w:szCs w:val="32"/>
          <w:lang w:val="en-US" w:eastAsia="zh-CN"/>
        </w:rPr>
        <w:t>市场监管部门</w:t>
      </w:r>
      <w:r>
        <w:rPr>
          <w:rFonts w:hint="default" w:ascii="Times New Roman" w:hAnsi="Times New Roman" w:cs="Times New Roman"/>
          <w:sz w:val="32"/>
          <w:szCs w:val="32"/>
          <w:lang w:val="en-US" w:eastAsia="zh-CN"/>
        </w:rPr>
        <w:t>内部</w:t>
      </w:r>
      <w:r>
        <w:rPr>
          <w:rFonts w:hint="default" w:ascii="Times New Roman" w:hAnsi="Times New Roman" w:eastAsia="仿宋" w:cs="Times New Roman"/>
          <w:sz w:val="32"/>
          <w:szCs w:val="32"/>
          <w:lang w:val="en-US" w:eastAsia="zh-CN"/>
        </w:rPr>
        <w:t>抽查计划。年度计划要通过国家企业信用信息公示系统（黑龙江）（以下简称公示系统）向社会公示。</w:t>
      </w:r>
      <w:r>
        <w:rPr>
          <w:rFonts w:hint="eastAsia" w:ascii="仿宋" w:hAnsi="仿宋" w:cs="仿宋"/>
          <w:sz w:val="32"/>
          <w:szCs w:val="32"/>
          <w:lang w:val="en-US" w:eastAsia="zh-CN"/>
        </w:rPr>
        <w:t>各地要切实发挥牵头作用，</w:t>
      </w:r>
      <w:r>
        <w:rPr>
          <w:rFonts w:hint="eastAsia" w:ascii="仿宋" w:hAnsi="仿宋" w:eastAsia="仿宋" w:cs="仿宋"/>
          <w:sz w:val="32"/>
          <w:szCs w:val="32"/>
          <w:lang w:val="en-US" w:eastAsia="zh-CN"/>
        </w:rPr>
        <w:t>督促成员单位对联查事项外单</w:t>
      </w:r>
      <w:bookmarkStart w:id="0" w:name="_GoBack"/>
      <w:bookmarkEnd w:id="0"/>
      <w:r>
        <w:rPr>
          <w:rFonts w:hint="eastAsia" w:ascii="仿宋" w:hAnsi="仿宋" w:eastAsia="仿宋" w:cs="仿宋"/>
          <w:sz w:val="32"/>
          <w:szCs w:val="32"/>
          <w:lang w:val="en-US" w:eastAsia="zh-CN"/>
        </w:rPr>
        <w:t>独实施的检查事项制定内部抽查计划</w:t>
      </w:r>
      <w:r>
        <w:rPr>
          <w:rFonts w:hint="eastAsia" w:ascii="仿宋" w:hAnsi="仿宋" w:cs="仿宋"/>
          <w:sz w:val="32"/>
          <w:szCs w:val="32"/>
          <w:lang w:val="en-US" w:eastAsia="zh-CN"/>
        </w:rPr>
        <w:t>、履行报备程序</w:t>
      </w:r>
      <w:r>
        <w:rPr>
          <w:rFonts w:hint="eastAsia" w:ascii="仿宋" w:hAnsi="仿宋" w:eastAsia="仿宋" w:cs="仿宋"/>
          <w:sz w:val="32"/>
          <w:szCs w:val="32"/>
          <w:lang w:val="en-US" w:eastAsia="zh-CN"/>
        </w:rPr>
        <w:t>，并按照计划实际开展检查。</w:t>
      </w:r>
    </w:p>
    <w:p>
      <w:pPr>
        <w:spacing w:beforeLines="0" w:afterLines="0"/>
        <w:rPr>
          <w:rFonts w:hint="eastAsia" w:ascii="楷体" w:hAnsi="楷体" w:eastAsia="楷体" w:cs="楷体"/>
          <w:b/>
          <w:sz w:val="32"/>
          <w:szCs w:val="32"/>
          <w:lang w:val="en-US" w:eastAsia="zh-CN"/>
        </w:rPr>
      </w:pPr>
      <w:r>
        <w:rPr>
          <w:rFonts w:hint="eastAsia" w:ascii="仿宋" w:hAnsi="仿宋" w:cs="仿宋"/>
          <w:b/>
          <w:sz w:val="32"/>
          <w:szCs w:val="32"/>
          <w:lang w:eastAsia="zh-CN"/>
        </w:rPr>
        <w:t>六</w:t>
      </w:r>
      <w:r>
        <w:rPr>
          <w:rFonts w:hint="eastAsia" w:ascii="仿宋" w:hAnsi="仿宋" w:cs="仿宋"/>
          <w:b/>
          <w:sz w:val="32"/>
          <w:szCs w:val="32"/>
        </w:rPr>
        <w:t>要动态调整。</w:t>
      </w:r>
      <w:r>
        <w:rPr>
          <w:rFonts w:hint="eastAsia" w:ascii="仿宋" w:hAnsi="仿宋" w:cs="仿宋"/>
          <w:sz w:val="32"/>
          <w:szCs w:val="32"/>
        </w:rPr>
        <w:t>年度抽查计划可根据工作实际动态调整。对未列入年度计划但实际工作需</w:t>
      </w:r>
      <w:r>
        <w:rPr>
          <w:rFonts w:hint="eastAsia" w:ascii="仿宋" w:hAnsi="仿宋" w:cs="仿宋"/>
          <w:sz w:val="32"/>
          <w:szCs w:val="32"/>
          <w:lang w:eastAsia="zh-CN"/>
        </w:rPr>
        <w:t>增加</w:t>
      </w:r>
      <w:r>
        <w:rPr>
          <w:rFonts w:hint="eastAsia" w:ascii="仿宋" w:hAnsi="仿宋" w:cs="仿宋"/>
          <w:sz w:val="32"/>
          <w:szCs w:val="32"/>
        </w:rPr>
        <w:t>的抽查</w:t>
      </w:r>
      <w:r>
        <w:rPr>
          <w:rFonts w:hint="eastAsia" w:ascii="仿宋" w:hAnsi="仿宋" w:cs="仿宋"/>
          <w:sz w:val="32"/>
          <w:szCs w:val="32"/>
          <w:lang w:eastAsia="zh-CN"/>
        </w:rPr>
        <w:t>任务</w:t>
      </w:r>
      <w:r>
        <w:rPr>
          <w:rFonts w:hint="eastAsia" w:ascii="仿宋" w:hAnsi="仿宋" w:cs="仿宋"/>
          <w:sz w:val="32"/>
          <w:szCs w:val="32"/>
        </w:rPr>
        <w:t>，或已列入但需要取消的抽查</w:t>
      </w:r>
      <w:r>
        <w:rPr>
          <w:rFonts w:hint="eastAsia" w:ascii="仿宋" w:hAnsi="仿宋" w:cs="仿宋"/>
          <w:sz w:val="32"/>
          <w:szCs w:val="32"/>
          <w:lang w:eastAsia="zh-CN"/>
        </w:rPr>
        <w:t>任务</w:t>
      </w:r>
      <w:r>
        <w:rPr>
          <w:rFonts w:hint="eastAsia" w:ascii="仿宋" w:hAnsi="仿宋" w:cs="仿宋"/>
          <w:sz w:val="32"/>
          <w:szCs w:val="32"/>
        </w:rPr>
        <w:t>，要及时调整</w:t>
      </w:r>
      <w:r>
        <w:rPr>
          <w:rFonts w:hint="eastAsia" w:ascii="仿宋" w:hAnsi="仿宋" w:cs="仿宋"/>
          <w:sz w:val="32"/>
          <w:szCs w:val="32"/>
          <w:lang w:eastAsia="zh-CN"/>
        </w:rPr>
        <w:t>、</w:t>
      </w:r>
      <w:r>
        <w:rPr>
          <w:rFonts w:hint="eastAsia" w:ascii="仿宋" w:hAnsi="仿宋" w:cs="仿宋"/>
          <w:sz w:val="32"/>
          <w:szCs w:val="32"/>
        </w:rPr>
        <w:t>公示</w:t>
      </w:r>
      <w:r>
        <w:rPr>
          <w:rFonts w:hint="eastAsia" w:ascii="仿宋" w:hAnsi="仿宋" w:cs="仿宋"/>
          <w:sz w:val="32"/>
          <w:szCs w:val="32"/>
          <w:lang w:eastAsia="zh-CN"/>
        </w:rPr>
        <w:t>，</w:t>
      </w:r>
      <w:r>
        <w:rPr>
          <w:rFonts w:hint="eastAsia" w:ascii="仿宋" w:hAnsi="仿宋" w:cs="仿宋"/>
          <w:sz w:val="32"/>
          <w:szCs w:val="32"/>
        </w:rPr>
        <w:t>并</w:t>
      </w:r>
      <w:r>
        <w:rPr>
          <w:rFonts w:hint="eastAsia" w:ascii="仿宋" w:hAnsi="仿宋" w:cs="仿宋"/>
          <w:sz w:val="32"/>
          <w:szCs w:val="32"/>
          <w:lang w:eastAsia="zh-CN"/>
        </w:rPr>
        <w:t>履行报备程序</w:t>
      </w:r>
      <w:r>
        <w:rPr>
          <w:rFonts w:hint="eastAsia" w:ascii="仿宋" w:hAnsi="仿宋" w:cs="仿宋"/>
          <w:sz w:val="32"/>
          <w:szCs w:val="32"/>
        </w:rPr>
        <w:t>。录入综合监管系统的计划任务要与报备的</w:t>
      </w:r>
      <w:r>
        <w:rPr>
          <w:rFonts w:hint="eastAsia" w:ascii="仿宋" w:hAnsi="仿宋" w:cs="仿宋"/>
          <w:sz w:val="32"/>
          <w:szCs w:val="32"/>
          <w:lang w:eastAsia="zh-CN"/>
        </w:rPr>
        <w:t>年度</w:t>
      </w:r>
      <w:r>
        <w:rPr>
          <w:rFonts w:hint="eastAsia" w:ascii="仿宋" w:hAnsi="仿宋" w:cs="仿宋"/>
          <w:sz w:val="32"/>
          <w:szCs w:val="32"/>
        </w:rPr>
        <w:t>计划</w:t>
      </w:r>
      <w:r>
        <w:rPr>
          <w:rFonts w:hint="eastAsia" w:ascii="仿宋" w:hAnsi="仿宋" w:cs="仿宋"/>
          <w:sz w:val="32"/>
          <w:szCs w:val="32"/>
          <w:lang w:eastAsia="zh-CN"/>
        </w:rPr>
        <w:t>、动态调整计划</w:t>
      </w:r>
      <w:r>
        <w:rPr>
          <w:rFonts w:hint="eastAsia" w:ascii="仿宋" w:hAnsi="仿宋" w:cs="仿宋"/>
          <w:sz w:val="32"/>
          <w:szCs w:val="32"/>
        </w:rPr>
        <w:t>任务一致。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（四）进一步提升结果公示质量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lang w:val="en-US" w:eastAsia="zh-CN"/>
        </w:rPr>
      </w:pPr>
      <w:r>
        <w:rPr>
          <w:rFonts w:hint="eastAsia" w:ascii="仿宋" w:hAnsi="仿宋" w:cs="仿宋"/>
          <w:b/>
          <w:bCs/>
          <w:sz w:val="32"/>
          <w:szCs w:val="32"/>
          <w:lang w:val="en-US" w:eastAsia="zh-CN"/>
        </w:rPr>
        <w:t>一要</w:t>
      </w:r>
      <w:r>
        <w:rPr>
          <w:rFonts w:hint="eastAsia" w:ascii="仿宋" w:hAnsi="仿宋" w:eastAsia="仿宋" w:cs="仿宋"/>
          <w:b/>
          <w:bCs/>
          <w:sz w:val="32"/>
          <w:szCs w:val="32"/>
          <w:lang w:val="en-US" w:eastAsia="zh-CN"/>
        </w:rPr>
        <w:t>准确选择类型</w:t>
      </w:r>
      <w:r>
        <w:rPr>
          <w:rFonts w:hint="eastAsia" w:ascii="仿宋" w:hAnsi="仿宋" w:cs="仿宋"/>
          <w:b/>
          <w:bCs/>
          <w:sz w:val="32"/>
          <w:szCs w:val="32"/>
          <w:lang w:val="en-US" w:eastAsia="zh-CN"/>
        </w:rPr>
        <w:t>。</w:t>
      </w:r>
      <w:r>
        <w:rPr>
          <w:rFonts w:hint="eastAsia" w:ascii="仿宋" w:hAnsi="仿宋" w:cs="仿宋"/>
          <w:sz w:val="32"/>
          <w:szCs w:val="32"/>
          <w:lang w:val="en-US" w:eastAsia="zh-CN"/>
        </w:rPr>
        <w:t>根据国市监信规</w:t>
      </w:r>
      <w:r>
        <w:rPr>
          <w:rFonts w:hint="default" w:ascii="Times New Roman" w:hAnsi="Times New Roman" w:cs="Times New Roman"/>
          <w:sz w:val="32"/>
          <w:szCs w:val="32"/>
          <w:lang w:val="en-US" w:eastAsia="zh-CN"/>
        </w:rPr>
        <w:t>〔2024〕5</w:t>
      </w:r>
      <w:r>
        <w:rPr>
          <w:rFonts w:hint="eastAsia" w:ascii="仿宋" w:hAnsi="仿宋" w:cs="仿宋"/>
          <w:sz w:val="32"/>
          <w:szCs w:val="32"/>
          <w:lang w:val="en-US" w:eastAsia="zh-CN"/>
        </w:rPr>
        <w:t>号规定，抽查检查结果类型调整</w:t>
      </w:r>
      <w:r>
        <w:rPr>
          <w:rFonts w:hint="default" w:ascii="Times New Roman" w:hAnsi="Times New Roman" w:cs="Times New Roman"/>
          <w:sz w:val="32"/>
          <w:szCs w:val="32"/>
          <w:lang w:val="en-US" w:eastAsia="zh-CN"/>
        </w:rPr>
        <w:t>9</w:t>
      </w:r>
      <w:r>
        <w:rPr>
          <w:rFonts w:hint="eastAsia" w:ascii="仿宋" w:hAnsi="仿宋" w:cs="仿宋"/>
          <w:sz w:val="32"/>
          <w:szCs w:val="32"/>
          <w:lang w:val="en-US" w:eastAsia="zh-CN"/>
        </w:rPr>
        <w:t>种，分别为：未发现问题；未按规定公示应当公示的信息；通过登记的住所（经营场所）无法联系；不配合检查情节严重；未发现开展本次抽查涉及的经营活动；发现问题，依法责令立即改正或者限期改正；发现问题，待后续调查处理；合格/不合格；其他情况。各地要注意检查结果的调整变化情况，根据检查实际，准确选择结果类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二要</w:t>
      </w:r>
      <w:r>
        <w:rPr>
          <w:rFonts w:hint="eastAsia" w:ascii="仿宋" w:hAnsi="仿宋" w:eastAsia="仿宋" w:cs="仿宋"/>
          <w:b/>
          <w:bCs/>
          <w:sz w:val="32"/>
          <w:szCs w:val="32"/>
          <w:lang w:val="en-US" w:eastAsia="zh-CN"/>
        </w:rPr>
        <w:t>按时录入公示</w:t>
      </w:r>
      <w:r>
        <w:rPr>
          <w:rFonts w:hint="eastAsia" w:ascii="仿宋" w:hAnsi="仿宋" w:cs="仿宋"/>
          <w:b/>
          <w:bCs/>
          <w:sz w:val="32"/>
          <w:szCs w:val="32"/>
          <w:lang w:val="en-US" w:eastAsia="zh-CN"/>
        </w:rPr>
        <w:t>。</w:t>
      </w:r>
      <w:r>
        <w:rPr>
          <w:rFonts w:hint="default" w:ascii="仿宋" w:hAnsi="仿宋" w:eastAsia="仿宋" w:cs="仿宋"/>
          <w:sz w:val="32"/>
          <w:szCs w:val="32"/>
          <w:lang w:val="en-US" w:eastAsia="zh-CN"/>
        </w:rPr>
        <w:t>抽查检查结束后，按照“谁检查、谁录入、谁负责”原则录入抽查检查结果信息并依法公示。</w:t>
      </w:r>
      <w:r>
        <w:rPr>
          <w:rFonts w:hint="eastAsia" w:ascii="仿宋" w:hAnsi="仿宋" w:eastAsia="仿宋" w:cs="仿宋"/>
          <w:sz w:val="32"/>
          <w:szCs w:val="32"/>
          <w:lang w:val="en-US" w:eastAsia="zh-CN"/>
        </w:rPr>
        <w:t>除法定不公示情形外，抽查任务完成后</w:t>
      </w:r>
      <w:r>
        <w:rPr>
          <w:rFonts w:hint="default" w:ascii="Times New Roman" w:hAnsi="Times New Roman" w:eastAsia="仿宋" w:cs="Times New Roman"/>
          <w:sz w:val="32"/>
          <w:szCs w:val="32"/>
          <w:lang w:val="en-US" w:eastAsia="zh-CN"/>
        </w:rPr>
        <w:t>20</w:t>
      </w:r>
      <w:r>
        <w:rPr>
          <w:rFonts w:hint="eastAsia" w:ascii="仿宋" w:hAnsi="仿宋" w:eastAsia="仿宋" w:cs="仿宋"/>
          <w:sz w:val="32"/>
          <w:szCs w:val="32"/>
          <w:lang w:val="en-US" w:eastAsia="zh-CN"/>
        </w:rPr>
        <w:t>个工作日内，必须公示抽查</w:t>
      </w:r>
      <w:r>
        <w:rPr>
          <w:rFonts w:hint="eastAsia" w:ascii="仿宋" w:hAnsi="仿宋" w:cs="仿宋"/>
          <w:sz w:val="32"/>
          <w:szCs w:val="32"/>
          <w:lang w:val="en-US" w:eastAsia="zh-CN"/>
        </w:rPr>
        <w:t>检查</w:t>
      </w:r>
      <w:r>
        <w:rPr>
          <w:rFonts w:hint="eastAsia" w:ascii="仿宋" w:hAnsi="仿宋" w:eastAsia="仿宋" w:cs="仿宋"/>
          <w:sz w:val="32"/>
          <w:szCs w:val="32"/>
          <w:lang w:val="en-US" w:eastAsia="zh-CN"/>
        </w:rPr>
        <w:t>结果。未在规定时间内录入、公示检查结果的</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视为未完成检查任务。非市场主体抽查检查结果，可以通过公示系统或部门网站等渠道进行公示。</w:t>
      </w:r>
      <w:r>
        <w:rPr>
          <w:rFonts w:hint="eastAsia" w:ascii="仿宋" w:hAnsi="仿宋" w:cs="仿宋"/>
          <w:sz w:val="32"/>
          <w:szCs w:val="32"/>
          <w:lang w:val="en-US" w:eastAsia="zh-CN"/>
        </w:rPr>
        <w:t>各地</w:t>
      </w:r>
      <w:r>
        <w:rPr>
          <w:rFonts w:hint="eastAsia" w:ascii="仿宋" w:hAnsi="仿宋" w:eastAsia="仿宋" w:cs="仿宋"/>
          <w:sz w:val="32"/>
          <w:szCs w:val="32"/>
          <w:lang w:val="en-US" w:eastAsia="zh-CN"/>
        </w:rPr>
        <w:t>要督促成员单位</w:t>
      </w:r>
      <w:r>
        <w:rPr>
          <w:rFonts w:hint="eastAsia" w:ascii="仿宋" w:hAnsi="仿宋" w:cs="仿宋"/>
          <w:sz w:val="32"/>
          <w:szCs w:val="32"/>
          <w:lang w:val="en-US" w:eastAsia="zh-CN"/>
        </w:rPr>
        <w:t>及时公示</w:t>
      </w:r>
      <w:r>
        <w:rPr>
          <w:rFonts w:hint="eastAsia" w:ascii="仿宋" w:hAnsi="仿宋" w:eastAsia="仿宋" w:cs="仿宋"/>
          <w:sz w:val="32"/>
          <w:szCs w:val="32"/>
          <w:lang w:val="en-US" w:eastAsia="zh-CN"/>
        </w:rPr>
        <w:t>非市场主体检查结果。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三、科学实施抽查检查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（一）合理选派检查人员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lang w:val="en-US" w:eastAsia="zh-CN"/>
        </w:rPr>
      </w:pPr>
      <w:r>
        <w:rPr>
          <w:rFonts w:hint="eastAsia" w:ascii="仿宋" w:hAnsi="仿宋" w:eastAsia="仿宋" w:cs="仿宋"/>
          <w:sz w:val="32"/>
          <w:szCs w:val="32"/>
          <w:lang w:val="en-US" w:eastAsia="zh-CN"/>
        </w:rPr>
        <w:t>要综合考虑辖区地理环境、人员配备、业务专长、保障水平等客观因素，因地制宜选择全局内随机、局机关与市场监管所随机、若干所内随机、单一所内随机等方式选派执法检查人员。上级检查任务可以</w:t>
      </w:r>
      <w:r>
        <w:rPr>
          <w:rFonts w:hint="eastAsia" w:ascii="仿宋" w:hAnsi="仿宋" w:cs="仿宋"/>
          <w:sz w:val="32"/>
          <w:szCs w:val="32"/>
          <w:lang w:val="en-US" w:eastAsia="zh-CN"/>
        </w:rPr>
        <w:t>委托</w:t>
      </w:r>
      <w:r>
        <w:rPr>
          <w:rFonts w:hint="eastAsia" w:ascii="仿宋" w:hAnsi="仿宋" w:eastAsia="仿宋" w:cs="仿宋"/>
          <w:sz w:val="32"/>
          <w:szCs w:val="32"/>
          <w:lang w:val="en-US" w:eastAsia="zh-CN"/>
        </w:rPr>
        <w:t>下级匹配检查人员进行检查</w:t>
      </w:r>
      <w:r>
        <w:rPr>
          <w:rFonts w:hint="eastAsia" w:ascii="仿宋" w:hAnsi="仿宋" w:cs="仿宋"/>
          <w:sz w:val="32"/>
          <w:szCs w:val="32"/>
          <w:lang w:val="en-US" w:eastAsia="zh-CN"/>
        </w:rPr>
        <w:t>。特殊情况下，同级检查任务</w:t>
      </w:r>
      <w:r>
        <w:rPr>
          <w:rFonts w:hint="eastAsia" w:ascii="仿宋" w:hAnsi="仿宋" w:eastAsia="仿宋" w:cs="仿宋"/>
          <w:sz w:val="32"/>
          <w:szCs w:val="32"/>
          <w:lang w:val="en-US" w:eastAsia="zh-CN"/>
        </w:rPr>
        <w:t>可</w:t>
      </w:r>
      <w:r>
        <w:rPr>
          <w:rFonts w:hint="eastAsia" w:ascii="仿宋" w:hAnsi="仿宋" w:cs="仿宋"/>
          <w:sz w:val="32"/>
          <w:szCs w:val="32"/>
          <w:lang w:val="en-US" w:eastAsia="zh-CN"/>
        </w:rPr>
        <w:t>书面</w:t>
      </w:r>
      <w:r>
        <w:rPr>
          <w:rFonts w:hint="eastAsia" w:ascii="仿宋" w:hAnsi="仿宋" w:eastAsia="仿宋" w:cs="仿宋"/>
          <w:sz w:val="32"/>
          <w:szCs w:val="32"/>
          <w:lang w:val="en-US" w:eastAsia="zh-CN"/>
        </w:rPr>
        <w:t>协商委托就近区域监管部门匹配检查人员进行检查。</w:t>
      </w:r>
      <w:r>
        <w:rPr>
          <w:rFonts w:hint="eastAsia" w:ascii="仿宋" w:hAnsi="仿宋" w:cs="仿宋"/>
          <w:sz w:val="32"/>
          <w:szCs w:val="32"/>
          <w:lang w:val="en-US" w:eastAsia="zh-CN"/>
        </w:rPr>
        <w:t>采取书面委托的，被委托单位应书面向委托单位反馈检查结果。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（二）科学选择检查方式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机抽查可以根据实际情况采取现场检查、书面检查、网络检查、委托专业机构检查等方式。委托专业机构辅助开展抽查的，要加强对相关机构的指导和监督。可以依法利用其他政府部门检查结论、司法机关生效文书和专业机构作出的专业结论。鼓励运用信息化技术手段、装备提高抽查检查效率和发现问题的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cs="Times New Roman"/>
          <w:lang w:val="en-US" w:eastAsia="zh-CN"/>
        </w:rPr>
      </w:pPr>
      <w:r>
        <w:rPr>
          <w:rStyle w:val="12"/>
          <w:rFonts w:hint="eastAsia" w:cs="Times New Roman"/>
          <w:lang w:val="en-US" w:eastAsia="zh-CN"/>
        </w:rPr>
        <w:t>（三）拓展分类应用领域</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深入贯彻落实总局关于信用风险分类管理及深化信用提升行动方案部署，推动</w:t>
      </w:r>
      <w:r>
        <w:rPr>
          <w:rFonts w:hint="eastAsia" w:ascii="仿宋" w:hAnsi="仿宋" w:eastAsia="仿宋" w:cs="仿宋"/>
          <w:sz w:val="32"/>
          <w:szCs w:val="32"/>
          <w:lang w:val="en-US" w:eastAsia="zh-CN"/>
        </w:rPr>
        <w:t>市场监管部门食品、</w:t>
      </w:r>
      <w:r>
        <w:rPr>
          <w:rFonts w:hint="eastAsia" w:ascii="仿宋" w:hAnsi="仿宋" w:cs="仿宋"/>
          <w:sz w:val="32"/>
          <w:szCs w:val="32"/>
          <w:lang w:val="en-US" w:eastAsia="zh-CN"/>
        </w:rPr>
        <w:t>特种设备</w:t>
      </w:r>
      <w:r>
        <w:rPr>
          <w:rFonts w:hint="eastAsia" w:ascii="仿宋" w:hAnsi="仿宋" w:eastAsia="仿宋" w:cs="仿宋"/>
          <w:sz w:val="32"/>
          <w:szCs w:val="32"/>
          <w:lang w:val="en-US" w:eastAsia="zh-CN"/>
        </w:rPr>
        <w:t>、产品质量、价格、计量等专业领域及市场监管领域相关部门</w:t>
      </w:r>
      <w:r>
        <w:rPr>
          <w:rFonts w:hint="eastAsia" w:ascii="仿宋" w:hAnsi="仿宋" w:cs="仿宋"/>
          <w:sz w:val="32"/>
          <w:szCs w:val="32"/>
          <w:lang w:val="en-US" w:eastAsia="zh-CN"/>
        </w:rPr>
        <w:t>在</w:t>
      </w:r>
      <w:r>
        <w:rPr>
          <w:rFonts w:hint="eastAsia" w:ascii="仿宋" w:hAnsi="仿宋" w:eastAsia="仿宋" w:cs="仿宋"/>
          <w:sz w:val="32"/>
          <w:szCs w:val="32"/>
          <w:lang w:val="en-US" w:eastAsia="zh-CN"/>
        </w:rPr>
        <w:t>直接使用通用分类结果开展分类监管</w:t>
      </w:r>
      <w:r>
        <w:rPr>
          <w:rFonts w:hint="eastAsia" w:ascii="仿宋" w:hAnsi="仿宋" w:cs="仿宋"/>
          <w:sz w:val="32"/>
          <w:szCs w:val="32"/>
          <w:lang w:val="en-US" w:eastAsia="zh-CN"/>
        </w:rPr>
        <w:t>的基础上</w:t>
      </w:r>
      <w:r>
        <w:rPr>
          <w:rFonts w:hint="eastAsia" w:ascii="仿宋" w:hAnsi="仿宋" w:eastAsia="仿宋" w:cs="仿宋"/>
          <w:sz w:val="32"/>
          <w:szCs w:val="32"/>
          <w:lang w:val="en-US" w:eastAsia="zh-CN"/>
        </w:rPr>
        <w:t>，依托</w:t>
      </w:r>
      <w:r>
        <w:rPr>
          <w:rFonts w:hint="eastAsia" w:ascii="仿宋" w:hAnsi="仿宋" w:cs="仿宋"/>
          <w:sz w:val="32"/>
          <w:szCs w:val="32"/>
          <w:lang w:val="en-US" w:eastAsia="zh-CN"/>
        </w:rPr>
        <w:t>企业信用风险分类管理系统</w:t>
      </w:r>
      <w:r>
        <w:rPr>
          <w:rFonts w:hint="eastAsia" w:ascii="仿宋" w:hAnsi="仿宋" w:eastAsia="仿宋" w:cs="仿宋"/>
          <w:sz w:val="32"/>
          <w:szCs w:val="32"/>
          <w:lang w:val="en-US" w:eastAsia="zh-CN"/>
        </w:rPr>
        <w:t>建立专业指标体系、进行专业分类、实施</w:t>
      </w:r>
      <w:r>
        <w:rPr>
          <w:rFonts w:hint="eastAsia" w:ascii="仿宋" w:hAnsi="仿宋" w:cs="仿宋"/>
          <w:sz w:val="32"/>
          <w:szCs w:val="32"/>
          <w:lang w:val="en-US" w:eastAsia="zh-CN"/>
        </w:rPr>
        <w:t>专业领域</w:t>
      </w:r>
      <w:r>
        <w:rPr>
          <w:rFonts w:hint="eastAsia" w:ascii="仿宋" w:hAnsi="仿宋" w:eastAsia="仿宋" w:cs="仿宋"/>
          <w:sz w:val="32"/>
          <w:szCs w:val="32"/>
          <w:lang w:val="en-US" w:eastAsia="zh-CN"/>
        </w:rPr>
        <w:t>差异化监管。</w:t>
      </w:r>
      <w:r>
        <w:rPr>
          <w:rFonts w:hint="eastAsia" w:ascii="仿宋" w:hAnsi="仿宋" w:cs="仿宋"/>
          <w:sz w:val="32"/>
          <w:szCs w:val="32"/>
          <w:lang w:val="en-US" w:eastAsia="zh-CN"/>
        </w:rPr>
        <w:t>专业领域</w:t>
      </w:r>
      <w:r>
        <w:rPr>
          <w:rFonts w:hint="eastAsia" w:ascii="仿宋" w:hAnsi="仿宋" w:eastAsia="仿宋" w:cs="仿宋"/>
          <w:sz w:val="32"/>
          <w:szCs w:val="32"/>
          <w:lang w:val="en-US" w:eastAsia="zh-CN"/>
        </w:rPr>
        <w:t>实施差异化监管</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要坚持以信用风险等级为主、兼顾行业风险度和监管重点区域的原则，确定监管重点、监管频率和监管层次。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（四）有效应用标准规范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省市场监管局</w:t>
      </w:r>
      <w:r>
        <w:rPr>
          <w:rFonts w:hint="eastAsia" w:ascii="仿宋" w:hAnsi="仿宋" w:cs="仿宋"/>
          <w:sz w:val="32"/>
          <w:szCs w:val="32"/>
          <w:lang w:val="en-US" w:eastAsia="zh-CN"/>
        </w:rPr>
        <w:t>负责组织各部门制定部门内部</w:t>
      </w:r>
      <w:r>
        <w:rPr>
          <w:rFonts w:hint="eastAsia" w:ascii="仿宋" w:hAnsi="仿宋" w:eastAsia="仿宋" w:cs="仿宋"/>
          <w:sz w:val="32"/>
          <w:szCs w:val="32"/>
          <w:lang w:val="en-US" w:eastAsia="zh-CN"/>
        </w:rPr>
        <w:t>随机抽查实施细则和</w:t>
      </w:r>
      <w:r>
        <w:rPr>
          <w:rFonts w:hint="eastAsia" w:ascii="仿宋" w:hAnsi="仿宋" w:cs="仿宋"/>
          <w:sz w:val="32"/>
          <w:szCs w:val="32"/>
          <w:lang w:val="en-US" w:eastAsia="zh-CN"/>
        </w:rPr>
        <w:t>检查</w:t>
      </w:r>
      <w:r>
        <w:rPr>
          <w:rFonts w:hint="eastAsia" w:ascii="仿宋" w:hAnsi="仿宋" w:eastAsia="仿宋" w:cs="仿宋"/>
          <w:sz w:val="32"/>
          <w:szCs w:val="32"/>
          <w:lang w:val="en-US" w:eastAsia="zh-CN"/>
        </w:rPr>
        <w:t>工作指引</w:t>
      </w:r>
      <w:r>
        <w:rPr>
          <w:rFonts w:hint="eastAsia" w:ascii="仿宋" w:hAnsi="仿宋" w:cs="仿宋"/>
          <w:sz w:val="32"/>
          <w:szCs w:val="32"/>
          <w:lang w:val="en-US" w:eastAsia="zh-CN"/>
        </w:rPr>
        <w:t>以及部门联查实施办法、联查指引</w:t>
      </w:r>
      <w:r>
        <w:rPr>
          <w:rFonts w:hint="eastAsia" w:ascii="仿宋" w:hAnsi="仿宋" w:eastAsia="仿宋" w:cs="仿宋"/>
          <w:sz w:val="32"/>
          <w:szCs w:val="32"/>
          <w:lang w:val="en-US" w:eastAsia="zh-CN"/>
        </w:rPr>
        <w:t>等</w:t>
      </w:r>
      <w:r>
        <w:rPr>
          <w:rFonts w:hint="eastAsia" w:ascii="仿宋" w:hAnsi="仿宋" w:cs="仿宋"/>
          <w:sz w:val="32"/>
          <w:szCs w:val="32"/>
          <w:lang w:val="en-US" w:eastAsia="zh-CN"/>
        </w:rPr>
        <w:t>标准</w:t>
      </w:r>
      <w:r>
        <w:rPr>
          <w:rFonts w:hint="eastAsia" w:ascii="仿宋" w:hAnsi="仿宋" w:eastAsia="仿宋" w:cs="仿宋"/>
          <w:sz w:val="32"/>
          <w:szCs w:val="32"/>
          <w:lang w:val="en-US" w:eastAsia="zh-CN"/>
        </w:rPr>
        <w:t>规范，建立全省</w:t>
      </w:r>
      <w:r>
        <w:rPr>
          <w:rFonts w:hint="eastAsia" w:ascii="仿宋" w:hAnsi="仿宋" w:cs="仿宋"/>
          <w:sz w:val="32"/>
          <w:szCs w:val="32"/>
          <w:lang w:val="en-US" w:eastAsia="zh-CN"/>
        </w:rPr>
        <w:t>统一实施的制度体系</w:t>
      </w:r>
      <w:r>
        <w:rPr>
          <w:rFonts w:hint="eastAsia" w:ascii="仿宋" w:hAnsi="仿宋" w:eastAsia="仿宋" w:cs="仿宋"/>
          <w:sz w:val="32"/>
          <w:szCs w:val="32"/>
          <w:lang w:val="en-US" w:eastAsia="zh-CN"/>
        </w:rPr>
        <w:t>，规范抽查</w:t>
      </w:r>
      <w:r>
        <w:rPr>
          <w:rFonts w:hint="eastAsia" w:ascii="仿宋" w:hAnsi="仿宋" w:cs="仿宋"/>
          <w:sz w:val="32"/>
          <w:szCs w:val="32"/>
          <w:lang w:val="en-US" w:eastAsia="zh-CN"/>
        </w:rPr>
        <w:t>检查</w:t>
      </w:r>
      <w:r>
        <w:rPr>
          <w:rFonts w:hint="eastAsia" w:ascii="仿宋" w:hAnsi="仿宋" w:eastAsia="仿宋" w:cs="仿宋"/>
          <w:sz w:val="32"/>
          <w:szCs w:val="32"/>
          <w:lang w:val="en-US" w:eastAsia="zh-CN"/>
        </w:rPr>
        <w:t>行为。</w:t>
      </w:r>
      <w:r>
        <w:rPr>
          <w:rFonts w:hint="eastAsia" w:ascii="仿宋" w:hAnsi="仿宋" w:cs="仿宋"/>
          <w:sz w:val="32"/>
          <w:szCs w:val="32"/>
          <w:lang w:val="en-US" w:eastAsia="zh-CN"/>
        </w:rPr>
        <w:t>同时</w:t>
      </w:r>
      <w:r>
        <w:rPr>
          <w:rFonts w:hint="eastAsia" w:ascii="仿宋" w:hAnsi="仿宋" w:eastAsia="仿宋" w:cs="仿宋"/>
          <w:sz w:val="32"/>
          <w:szCs w:val="32"/>
          <w:lang w:val="en-US" w:eastAsia="zh-CN"/>
        </w:rPr>
        <w:t>，将《市场监管系统“双随机、一公开”检查工作规范》省级地方标准相关检查示例表嵌入</w:t>
      </w:r>
      <w:r>
        <w:rPr>
          <w:rFonts w:hint="eastAsia" w:ascii="仿宋" w:hAnsi="仿宋" w:cs="仿宋"/>
          <w:sz w:val="32"/>
          <w:szCs w:val="32"/>
          <w:lang w:val="en-US" w:eastAsia="zh-CN"/>
        </w:rPr>
        <w:t>综合监管系统</w:t>
      </w:r>
      <w:r>
        <w:rPr>
          <w:rFonts w:hint="eastAsia" w:ascii="仿宋" w:hAnsi="仿宋" w:eastAsia="仿宋" w:cs="仿宋"/>
          <w:sz w:val="32"/>
          <w:szCs w:val="32"/>
          <w:lang w:val="en-US" w:eastAsia="zh-CN"/>
        </w:rPr>
        <w:t>，与对应抽查事项进行关联，提升市场监管系统“双随机、一公开”监管制度化、规范化水平。</w:t>
      </w:r>
      <w:r>
        <w:rPr>
          <w:rFonts w:hint="eastAsia" w:ascii="仿宋" w:hAnsi="仿宋" w:cs="仿宋"/>
          <w:sz w:val="32"/>
          <w:szCs w:val="32"/>
          <w:lang w:val="en-US" w:eastAsia="zh-CN"/>
        </w:rPr>
        <w:t>各地要切实应用各类标准规范开展抽查检查。</w:t>
      </w:r>
      <w:r>
        <w:rPr>
          <w:rFonts w:hint="eastAsia" w:ascii="仿宋" w:hAnsi="仿宋" w:eastAsia="仿宋" w:cs="仿宋"/>
          <w:sz w:val="32"/>
          <w:szCs w:val="32"/>
          <w:lang w:val="en-US" w:eastAsia="zh-CN"/>
        </w:rPr>
        <w:t>鼓励各地结合实际探索创新抽查工作方法、机制。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sz w:val="32"/>
          <w:szCs w:val="32"/>
        </w:rPr>
      </w:pPr>
      <w:r>
        <w:rPr>
          <w:rStyle w:val="12"/>
          <w:rFonts w:hint="eastAsia"/>
          <w:lang w:val="en-US" w:eastAsia="zh-CN"/>
        </w:rPr>
        <w:t>（五）</w:t>
      </w:r>
      <w:r>
        <w:rPr>
          <w:rStyle w:val="12"/>
          <w:rFonts w:hint="eastAsia"/>
          <w:sz w:val="32"/>
          <w:szCs w:val="32"/>
        </w:rPr>
        <w:t>全面落实各项制度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rPr>
      </w:pPr>
      <w:r>
        <w:rPr>
          <w:rFonts w:hint="eastAsia" w:ascii="仿宋" w:hAnsi="仿宋" w:cs="仿宋"/>
          <w:sz w:val="32"/>
          <w:szCs w:val="32"/>
        </w:rPr>
        <w:t>要全面落实行政执法三项制度，落实“回避”要求，落实抽查事项公开、计划公开、结果公开规定，相关流程均要通过综合监管系统实施，确保全过程留痕、全流程可溯、全环节公示，信息公开透明。要落实档案管理制度。按照规定内容建立“双随机、一公开”检查档案并按照档案管理有关规定进行保存，检查档案包括但不限于封面、目录、检查公示单、任务建立、抽取检查对象、匹配检查人员、录入检查结果、公示系统检查结果公示截图、检查人员执法证照片、被检查对象证照照片、随机抽查检查表、结果汇总表、检查情况说明、带水印的现场检查照片以及其他检查材料，涉及后续处理的，档案中要有简要列异、列严、处罚等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（六）正确选用监管方式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rPr>
      </w:pPr>
      <w:r>
        <w:rPr>
          <w:rStyle w:val="15"/>
          <w:rFonts w:hint="eastAsia"/>
          <w:sz w:val="32"/>
          <w:szCs w:val="32"/>
        </w:rPr>
        <w:t>一要依法依规实行重点监管</w:t>
      </w:r>
      <w:r>
        <w:rPr>
          <w:rStyle w:val="15"/>
          <w:rFonts w:hint="eastAsia"/>
          <w:sz w:val="32"/>
          <w:szCs w:val="32"/>
          <w:lang w:eastAsia="zh-CN"/>
        </w:rPr>
        <w:t>。</w:t>
      </w:r>
      <w:r>
        <w:rPr>
          <w:rFonts w:hint="eastAsia" w:ascii="仿宋" w:hAnsi="仿宋" w:eastAsia="仿宋" w:cs="仿宋"/>
          <w:sz w:val="32"/>
          <w:szCs w:val="32"/>
        </w:rPr>
        <w:t>食品、重点工业产品、特种设备等直接关系人民群众生命财产安全、公共安全，以及潜在风险大、社会风险高的特殊重点领域，要按照现有规定实行全覆盖、全链条、全过程、全时空、全方位重点监管。省市场监管局负责全面梳理职责范围内的重点监管事项，明确监管主体、监管对象、监管措施等内容，探索建立重点监管事项清单制度。各地要</w:t>
      </w:r>
      <w:r>
        <w:rPr>
          <w:rFonts w:hint="eastAsia" w:ascii="仿宋" w:hAnsi="仿宋" w:cs="仿宋"/>
          <w:sz w:val="32"/>
          <w:szCs w:val="32"/>
          <w:lang w:eastAsia="zh-CN"/>
        </w:rPr>
        <w:t>按照</w:t>
      </w:r>
      <w:r>
        <w:rPr>
          <w:rFonts w:hint="eastAsia" w:ascii="仿宋" w:hAnsi="仿宋" w:eastAsia="仿宋" w:cs="仿宋"/>
          <w:sz w:val="32"/>
          <w:szCs w:val="32"/>
        </w:rPr>
        <w:t>清单</w:t>
      </w:r>
      <w:r>
        <w:rPr>
          <w:rFonts w:hint="eastAsia" w:ascii="仿宋" w:hAnsi="仿宋" w:cs="仿宋"/>
          <w:sz w:val="32"/>
          <w:szCs w:val="32"/>
          <w:lang w:eastAsia="zh-CN"/>
        </w:rPr>
        <w:t>，</w:t>
      </w:r>
      <w:r>
        <w:rPr>
          <w:rFonts w:hint="eastAsia" w:ascii="仿宋" w:hAnsi="仿宋" w:eastAsia="仿宋" w:cs="仿宋"/>
          <w:sz w:val="32"/>
          <w:szCs w:val="32"/>
        </w:rPr>
        <w:t>根据区域和行业风险特点，统筹行业风险防控、行政刑事违法情况和信用风险分类管理，依法依规实行重点监管。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Style w:val="15"/>
          <w:rFonts w:hint="eastAsia"/>
          <w:lang w:val="en-US" w:eastAsia="zh-CN"/>
        </w:rPr>
        <w:t>二要根据问题线索开展靶向监管。</w:t>
      </w:r>
      <w:r>
        <w:rPr>
          <w:rFonts w:hint="eastAsia" w:ascii="仿宋" w:hAnsi="仿宋" w:eastAsia="仿宋" w:cs="仿宋"/>
          <w:sz w:val="32"/>
          <w:szCs w:val="32"/>
          <w:lang w:val="en-US" w:eastAsia="zh-CN"/>
        </w:rPr>
        <w:t>对投诉举报、转办交办的违法违规个案线索，要及时进行检查、处置。对通过监测途径发现的普遍性问题和突出风险，在开展有针对性的检查时，要贯彻“双随机、一公开”理念，根据实际情况确定抽查行业、抽查区域及抽查比例</w:t>
      </w:r>
      <w:r>
        <w:rPr>
          <w:rFonts w:hint="eastAsia" w:ascii="仿宋" w:hAnsi="仿宋" w:cs="仿宋"/>
          <w:sz w:val="32"/>
          <w:szCs w:val="32"/>
          <w:lang w:val="en-US" w:eastAsia="zh-CN"/>
        </w:rPr>
        <w:t>，开展有针对性的靶向监管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三要全面应用双随机方式进行日常监管。</w:t>
      </w:r>
      <w:r>
        <w:rPr>
          <w:rFonts w:hint="eastAsia" w:ascii="仿宋" w:hAnsi="仿宋" w:cs="仿宋"/>
          <w:b w:val="0"/>
          <w:bCs w:val="0"/>
          <w:sz w:val="32"/>
          <w:szCs w:val="32"/>
          <w:lang w:val="en-US" w:eastAsia="zh-CN"/>
        </w:rPr>
        <w:t>要充分</w:t>
      </w:r>
      <w:r>
        <w:rPr>
          <w:rFonts w:hint="eastAsia" w:ascii="仿宋" w:hAnsi="仿宋" w:eastAsia="仿宋" w:cs="仿宋"/>
          <w:b w:val="0"/>
          <w:bCs w:val="0"/>
          <w:sz w:val="32"/>
          <w:szCs w:val="32"/>
          <w:lang w:val="en-US" w:eastAsia="zh-CN"/>
        </w:rPr>
        <w:t>发挥“双随机、一公开”监管日常性、基础性作用</w:t>
      </w:r>
      <w:r>
        <w:rPr>
          <w:rFonts w:hint="eastAsia" w:ascii="仿宋" w:hAnsi="仿宋" w:cs="仿宋"/>
          <w:b w:val="0"/>
          <w:bCs w:val="0"/>
          <w:sz w:val="32"/>
          <w:szCs w:val="32"/>
          <w:lang w:val="en-US" w:eastAsia="zh-CN"/>
        </w:rPr>
        <w:t>，</w:t>
      </w:r>
      <w:r>
        <w:rPr>
          <w:rFonts w:hint="eastAsia" w:ascii="仿宋" w:hAnsi="仿宋" w:eastAsia="仿宋" w:cs="仿宋"/>
          <w:sz w:val="32"/>
          <w:szCs w:val="32"/>
          <w:lang w:val="en-US" w:eastAsia="zh-CN"/>
        </w:rPr>
        <w:t>除根据重点监管事项清单和问题线索开展的</w:t>
      </w:r>
      <w:r>
        <w:rPr>
          <w:rFonts w:hint="eastAsia" w:ascii="仿宋" w:hAnsi="仿宋" w:cs="仿宋"/>
          <w:sz w:val="32"/>
          <w:szCs w:val="32"/>
          <w:lang w:val="en-US" w:eastAsia="zh-CN"/>
        </w:rPr>
        <w:t>重点监管、</w:t>
      </w:r>
      <w:r>
        <w:rPr>
          <w:rFonts w:hint="eastAsia" w:ascii="仿宋" w:hAnsi="仿宋" w:eastAsia="仿宋" w:cs="仿宋"/>
          <w:sz w:val="32"/>
          <w:szCs w:val="32"/>
          <w:lang w:val="en-US" w:eastAsia="zh-CN"/>
        </w:rPr>
        <w:t>靶向监管外，日常涉企行政检查原则上</w:t>
      </w:r>
      <w:r>
        <w:rPr>
          <w:rFonts w:hint="eastAsia" w:ascii="仿宋" w:hAnsi="仿宋" w:cs="仿宋"/>
          <w:sz w:val="32"/>
          <w:szCs w:val="32"/>
          <w:lang w:val="en-US" w:eastAsia="zh-CN"/>
        </w:rPr>
        <w:t>均要</w:t>
      </w:r>
      <w:r>
        <w:rPr>
          <w:rFonts w:hint="eastAsia" w:ascii="仿宋" w:hAnsi="仿宋" w:eastAsia="仿宋" w:cs="仿宋"/>
          <w:sz w:val="32"/>
          <w:szCs w:val="32"/>
          <w:lang w:val="en-US" w:eastAsia="zh-CN"/>
        </w:rPr>
        <w:t>通过“双随机、一公开”方式进行，并与信用风险分类结果相结合，提高问题发现能力。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四要坚决避免监管盲区。</w:t>
      </w:r>
      <w:r>
        <w:rPr>
          <w:rFonts w:hint="eastAsia" w:ascii="仿宋" w:hAnsi="仿宋" w:cs="仿宋"/>
          <w:sz w:val="32"/>
          <w:szCs w:val="32"/>
          <w:lang w:val="en-US" w:eastAsia="zh-CN"/>
        </w:rPr>
        <w:t>发现重点监管事项</w:t>
      </w:r>
      <w:r>
        <w:rPr>
          <w:rFonts w:hint="eastAsia" w:ascii="仿宋" w:hAnsi="仿宋" w:eastAsia="仿宋" w:cs="仿宋"/>
          <w:sz w:val="32"/>
          <w:szCs w:val="32"/>
          <w:lang w:val="en-US" w:eastAsia="zh-CN"/>
        </w:rPr>
        <w:t>清单</w:t>
      </w:r>
      <w:r>
        <w:rPr>
          <w:rFonts w:hint="eastAsia" w:ascii="仿宋" w:hAnsi="仿宋" w:cs="仿宋"/>
          <w:sz w:val="32"/>
          <w:szCs w:val="32"/>
          <w:lang w:val="en-US" w:eastAsia="zh-CN"/>
        </w:rPr>
        <w:t>及随机抽查事项清单</w:t>
      </w:r>
      <w:r>
        <w:rPr>
          <w:rFonts w:hint="eastAsia" w:ascii="仿宋" w:hAnsi="仿宋" w:eastAsia="仿宋" w:cs="仿宋"/>
          <w:sz w:val="32"/>
          <w:szCs w:val="32"/>
          <w:lang w:val="en-US" w:eastAsia="zh-CN"/>
        </w:rPr>
        <w:t>以外的法定监督检查事项，要依法履行监管职责，绝不能以未列入清单为由放弃监管</w:t>
      </w:r>
      <w:r>
        <w:rPr>
          <w:rFonts w:hint="eastAsia" w:ascii="仿宋" w:hAnsi="仿宋" w:cs="仿宋"/>
          <w:sz w:val="32"/>
          <w:szCs w:val="32"/>
          <w:lang w:val="en-US" w:eastAsia="zh-CN"/>
        </w:rPr>
        <w:t>，坚决防止出现监管盲区</w:t>
      </w:r>
      <w:r>
        <w:rPr>
          <w:rFonts w:hint="eastAsia" w:ascii="仿宋" w:hAnsi="仿宋" w:eastAsia="仿宋" w:cs="仿宋"/>
          <w:sz w:val="32"/>
          <w:szCs w:val="32"/>
          <w:lang w:val="en-US" w:eastAsia="zh-CN"/>
        </w:rPr>
        <w:t>。认为应补充纳入</w:t>
      </w:r>
      <w:r>
        <w:rPr>
          <w:rFonts w:hint="eastAsia" w:ascii="仿宋" w:hAnsi="仿宋" w:cs="仿宋"/>
          <w:sz w:val="32"/>
          <w:szCs w:val="32"/>
          <w:lang w:val="en-US" w:eastAsia="zh-CN"/>
        </w:rPr>
        <w:t>两个</w:t>
      </w:r>
      <w:r>
        <w:rPr>
          <w:rFonts w:hint="eastAsia" w:ascii="仿宋" w:hAnsi="仿宋" w:eastAsia="仿宋" w:cs="仿宋"/>
          <w:sz w:val="32"/>
          <w:szCs w:val="32"/>
          <w:lang w:val="en-US" w:eastAsia="zh-CN"/>
        </w:rPr>
        <w:t>清单的，应及时向省市场监管局提出修订建议。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四、依法做好后续衔接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抽查中发现的各类问题，应当采取及时有效的处理措施，按照“谁监管、谁负责”的原则实施后续监管。</w:t>
      </w:r>
      <w:r>
        <w:rPr>
          <w:rFonts w:hint="default" w:ascii="仿宋" w:hAnsi="仿宋" w:eastAsia="仿宋" w:cs="仿宋"/>
          <w:sz w:val="32"/>
          <w:szCs w:val="32"/>
          <w:lang w:val="en-US" w:eastAsia="zh-CN"/>
        </w:rPr>
        <w:t>抽查检查对象符合列异、列严等相关规定的，</w:t>
      </w:r>
      <w:r>
        <w:rPr>
          <w:rFonts w:hint="eastAsia" w:ascii="仿宋" w:hAnsi="仿宋" w:cs="仿宋"/>
          <w:sz w:val="32"/>
          <w:szCs w:val="32"/>
          <w:lang w:val="en-US" w:eastAsia="zh-CN"/>
        </w:rPr>
        <w:t>依法予以列入。联合抽查涉及列异等检查结果的，按照</w:t>
      </w:r>
      <w:r>
        <w:rPr>
          <w:rFonts w:hint="default" w:ascii="仿宋" w:hAnsi="仿宋" w:eastAsia="仿宋" w:cs="仿宋"/>
          <w:sz w:val="32"/>
          <w:szCs w:val="32"/>
          <w:lang w:val="en-US" w:eastAsia="zh-CN"/>
        </w:rPr>
        <w:t>联查实施办法</w:t>
      </w:r>
      <w:r>
        <w:rPr>
          <w:rFonts w:hint="eastAsia" w:ascii="仿宋" w:hAnsi="仿宋" w:cs="仿宋"/>
          <w:sz w:val="32"/>
          <w:szCs w:val="32"/>
          <w:lang w:val="en-US" w:eastAsia="zh-CN"/>
        </w:rPr>
        <w:t>有关规定</w:t>
      </w:r>
      <w:r>
        <w:rPr>
          <w:rFonts w:hint="default" w:ascii="仿宋" w:hAnsi="仿宋" w:eastAsia="仿宋" w:cs="仿宋"/>
          <w:sz w:val="32"/>
          <w:szCs w:val="32"/>
          <w:lang w:val="en-US" w:eastAsia="zh-CN"/>
        </w:rPr>
        <w:t>进行协同处置；抽查检查对象涉嫌违法的，依法立案查处</w:t>
      </w:r>
      <w:r>
        <w:rPr>
          <w:rFonts w:hint="eastAsia" w:ascii="仿宋" w:hAnsi="仿宋" w:cs="仿宋"/>
          <w:sz w:val="32"/>
          <w:szCs w:val="32"/>
          <w:lang w:val="en-US" w:eastAsia="zh-CN"/>
        </w:rPr>
        <w:t>。</w:t>
      </w:r>
      <w:r>
        <w:rPr>
          <w:rFonts w:hint="default" w:ascii="仿宋" w:hAnsi="仿宋" w:eastAsia="仿宋" w:cs="仿宋"/>
          <w:sz w:val="32"/>
          <w:szCs w:val="32"/>
          <w:lang w:val="en-US" w:eastAsia="zh-CN"/>
        </w:rPr>
        <w:t>属于本部门管辖的，执法检查人员应当初步固定证据，依法移送给具有办案职能的机构处理，后续处理结果应当及时反馈检查机构；不属于本部门管辖或虽属于本部门日常监管但处罚权已划转至其他执法部门的，应当及时依法将案件线索移送给有管辖权或有处罚权的部门处理，后续处理结果应当及时反馈检查部门</w:t>
      </w:r>
      <w:r>
        <w:rPr>
          <w:rFonts w:hint="eastAsia" w:ascii="仿宋" w:hAnsi="仿宋" w:cs="仿宋"/>
          <w:sz w:val="32"/>
          <w:szCs w:val="32"/>
          <w:lang w:val="en-US" w:eastAsia="zh-CN"/>
        </w:rPr>
        <w:t>。市场监管部门有关的</w:t>
      </w:r>
      <w:r>
        <w:rPr>
          <w:rFonts w:hint="eastAsia" w:ascii="仿宋" w:hAnsi="仿宋" w:eastAsia="仿宋" w:cs="仿宋"/>
          <w:sz w:val="32"/>
          <w:szCs w:val="32"/>
          <w:lang w:val="en-US" w:eastAsia="zh-CN"/>
        </w:rPr>
        <w:t>案源线索</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及时推送至执法办案系统，做到抽查任务单号、检查对象名称与相关行政处罚决定精准关联，实现监督检查与执法办案双向联动，有效形成监管闭环</w:t>
      </w:r>
      <w:r>
        <w:rPr>
          <w:rFonts w:hint="eastAsia" w:ascii="仿宋" w:hAnsi="仿宋" w:cs="仿宋"/>
          <w:sz w:val="32"/>
          <w:szCs w:val="32"/>
          <w:lang w:val="en-US" w:eastAsia="zh-CN"/>
        </w:rPr>
        <w:t>；</w:t>
      </w:r>
      <w:r>
        <w:rPr>
          <w:rFonts w:hint="default" w:ascii="仿宋" w:hAnsi="仿宋" w:eastAsia="仿宋" w:cs="仿宋"/>
          <w:sz w:val="32"/>
          <w:szCs w:val="32"/>
          <w:lang w:val="en-US" w:eastAsia="zh-CN"/>
        </w:rPr>
        <w:t>涉嫌犯罪的，移送司法机关</w:t>
      </w:r>
      <w:r>
        <w:rPr>
          <w:rFonts w:hint="eastAsia" w:ascii="仿宋" w:hAnsi="仿宋" w:cs="仿宋"/>
          <w:sz w:val="32"/>
          <w:szCs w:val="32"/>
          <w:lang w:val="en-US" w:eastAsia="zh-CN"/>
        </w:rPr>
        <w:t>；</w:t>
      </w:r>
      <w:r>
        <w:rPr>
          <w:rFonts w:hint="default" w:ascii="仿宋" w:hAnsi="仿宋" w:eastAsia="仿宋" w:cs="仿宋"/>
          <w:sz w:val="32"/>
          <w:szCs w:val="32"/>
          <w:lang w:val="en-US" w:eastAsia="zh-CN"/>
        </w:rPr>
        <w:t>发现执法检查人员涉嫌违纪或职务违法、职务犯罪等问题线索，应当及时移送纪检监察部门。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五、积极探索创新路径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（一）深入推进部门综合监管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cs="仿宋"/>
          <w:b/>
          <w:bCs/>
          <w:sz w:val="32"/>
          <w:szCs w:val="32"/>
          <w:lang w:val="en-US" w:eastAsia="zh-CN"/>
        </w:rPr>
        <w:t>要推进重点监管事项跨部门综合监管。</w:t>
      </w:r>
      <w:r>
        <w:rPr>
          <w:rFonts w:hint="eastAsia" w:ascii="仿宋" w:hAnsi="仿宋" w:eastAsia="仿宋" w:cs="仿宋"/>
          <w:sz w:val="32"/>
          <w:szCs w:val="32"/>
          <w:lang w:val="en-US" w:eastAsia="zh-CN"/>
        </w:rPr>
        <w:t>贯彻落实国务院</w:t>
      </w:r>
      <w:r>
        <w:rPr>
          <w:rFonts w:hint="eastAsia" w:ascii="仿宋" w:hAnsi="仿宋" w:cs="仿宋"/>
          <w:sz w:val="32"/>
          <w:szCs w:val="32"/>
          <w:lang w:val="en-US" w:eastAsia="zh-CN"/>
        </w:rPr>
        <w:t>、省</w:t>
      </w:r>
      <w:r>
        <w:rPr>
          <w:rFonts w:hint="eastAsia" w:ascii="仿宋" w:hAnsi="仿宋" w:eastAsia="仿宋" w:cs="仿宋"/>
          <w:sz w:val="32"/>
          <w:szCs w:val="32"/>
          <w:lang w:val="en-US" w:eastAsia="zh-CN"/>
        </w:rPr>
        <w:t>政府及</w:t>
      </w:r>
      <w:r>
        <w:rPr>
          <w:rFonts w:hint="eastAsia" w:ascii="仿宋" w:hAnsi="仿宋" w:cs="仿宋"/>
          <w:sz w:val="32"/>
          <w:szCs w:val="32"/>
          <w:lang w:val="en-US" w:eastAsia="zh-CN"/>
        </w:rPr>
        <w:t>总局</w:t>
      </w:r>
      <w:r>
        <w:rPr>
          <w:rFonts w:hint="eastAsia" w:ascii="仿宋" w:hAnsi="仿宋" w:eastAsia="仿宋" w:cs="仿宋"/>
          <w:sz w:val="32"/>
          <w:szCs w:val="32"/>
          <w:lang w:val="en-US" w:eastAsia="zh-CN"/>
        </w:rPr>
        <w:t>关于跨部门综合监管的部署要求，统筹推进全省市场监管系统跨部门综合监管</w:t>
      </w:r>
      <w:r>
        <w:rPr>
          <w:rFonts w:hint="eastAsia" w:ascii="仿宋" w:hAnsi="仿宋" w:cs="仿宋"/>
          <w:sz w:val="32"/>
          <w:szCs w:val="32"/>
          <w:lang w:val="en-US" w:eastAsia="zh-CN"/>
        </w:rPr>
        <w:t>。各地要</w:t>
      </w:r>
      <w:r>
        <w:rPr>
          <w:rFonts w:hint="eastAsia" w:ascii="仿宋" w:hAnsi="仿宋" w:eastAsia="仿宋" w:cs="仿宋"/>
          <w:sz w:val="32"/>
          <w:szCs w:val="32"/>
          <w:lang w:val="en-US" w:eastAsia="zh-CN"/>
        </w:rPr>
        <w:t>制定</w:t>
      </w:r>
      <w:r>
        <w:rPr>
          <w:rFonts w:hint="eastAsia" w:ascii="仿宋" w:hAnsi="仿宋" w:cs="仿宋"/>
          <w:sz w:val="32"/>
          <w:szCs w:val="32"/>
          <w:lang w:val="en-US" w:eastAsia="zh-CN"/>
        </w:rPr>
        <w:t>市场监管部门</w:t>
      </w:r>
      <w:r>
        <w:rPr>
          <w:rFonts w:hint="eastAsia" w:ascii="仿宋" w:hAnsi="仿宋" w:eastAsia="仿宋" w:cs="仿宋"/>
          <w:sz w:val="32"/>
          <w:szCs w:val="32"/>
          <w:lang w:val="en-US" w:eastAsia="zh-CN"/>
        </w:rPr>
        <w:t>牵头实施的对集中用餐单位、客运索道、大型游乐设施等</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项跨部门综合监管事项年度检查计划，</w:t>
      </w:r>
      <w:r>
        <w:rPr>
          <w:rFonts w:hint="eastAsia" w:ascii="仿宋" w:hAnsi="仿宋" w:cs="仿宋"/>
          <w:sz w:val="32"/>
          <w:szCs w:val="32"/>
          <w:lang w:val="en-US" w:eastAsia="zh-CN"/>
        </w:rPr>
        <w:t>并</w:t>
      </w:r>
      <w:r>
        <w:rPr>
          <w:rFonts w:hint="eastAsia" w:ascii="仿宋" w:hAnsi="仿宋" w:eastAsia="仿宋" w:cs="仿宋"/>
          <w:sz w:val="32"/>
          <w:szCs w:val="32"/>
          <w:lang w:val="en-US" w:eastAsia="zh-CN"/>
        </w:rPr>
        <w:t>按要求报备，组织开展联合检查。</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积极参与各项联合检查任务，配合相关部门对农药生产等</w:t>
      </w:r>
      <w:r>
        <w:rPr>
          <w:rFonts w:hint="default" w:ascii="Times New Roman" w:hAnsi="Times New Roman" w:eastAsia="仿宋" w:cs="Times New Roman"/>
          <w:sz w:val="32"/>
          <w:szCs w:val="32"/>
          <w:lang w:val="en-US" w:eastAsia="zh-CN"/>
        </w:rPr>
        <w:t>11</w:t>
      </w:r>
      <w:r>
        <w:rPr>
          <w:rFonts w:hint="eastAsia" w:ascii="仿宋" w:hAnsi="仿宋" w:eastAsia="仿宋" w:cs="仿宋"/>
          <w:sz w:val="32"/>
          <w:szCs w:val="32"/>
          <w:lang w:val="en-US" w:eastAsia="zh-CN"/>
        </w:rPr>
        <w:t>项跨部门综合监管事项</w:t>
      </w:r>
      <w:r>
        <w:rPr>
          <w:rFonts w:hint="eastAsia" w:ascii="仿宋" w:hAnsi="仿宋" w:cs="仿宋"/>
          <w:sz w:val="32"/>
          <w:szCs w:val="32"/>
          <w:lang w:val="en-US" w:eastAsia="zh-CN"/>
        </w:rPr>
        <w:t>开展</w:t>
      </w:r>
      <w:r>
        <w:rPr>
          <w:rFonts w:hint="eastAsia" w:ascii="仿宋" w:hAnsi="仿宋" w:eastAsia="仿宋" w:cs="仿宋"/>
          <w:sz w:val="32"/>
          <w:szCs w:val="32"/>
          <w:lang w:val="en-US" w:eastAsia="zh-CN"/>
        </w:rPr>
        <w:t>监督检查。</w:t>
      </w:r>
      <w:r>
        <w:rPr>
          <w:rFonts w:hint="eastAsia" w:ascii="仿宋" w:hAnsi="仿宋" w:cs="仿宋"/>
          <w:sz w:val="32"/>
          <w:szCs w:val="32"/>
          <w:lang w:val="en-US" w:eastAsia="zh-CN"/>
        </w:rPr>
        <w:t>要做好</w:t>
      </w:r>
      <w:r>
        <w:rPr>
          <w:rFonts w:hint="eastAsia" w:ascii="仿宋" w:hAnsi="仿宋" w:eastAsia="仿宋" w:cs="仿宋"/>
          <w:sz w:val="32"/>
          <w:szCs w:val="32"/>
          <w:lang w:val="en-US" w:eastAsia="zh-CN"/>
        </w:rPr>
        <w:t>“综合查一次”“一业一册”告知制度</w:t>
      </w:r>
      <w:r>
        <w:rPr>
          <w:rFonts w:hint="eastAsia" w:ascii="仿宋" w:hAnsi="仿宋" w:cs="仿宋"/>
          <w:sz w:val="32"/>
          <w:szCs w:val="32"/>
          <w:lang w:val="en-US" w:eastAsia="zh-CN"/>
        </w:rPr>
        <w:t>试点相关工作。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b/>
          <w:bCs/>
          <w:sz w:val="32"/>
          <w:szCs w:val="32"/>
          <w:lang w:val="en-US" w:eastAsia="zh-CN"/>
        </w:rPr>
        <w:t>二要</w:t>
      </w:r>
      <w:r>
        <w:rPr>
          <w:rFonts w:hint="eastAsia" w:ascii="仿宋" w:hAnsi="仿宋" w:eastAsia="仿宋" w:cs="仿宋"/>
          <w:b/>
          <w:bCs/>
          <w:sz w:val="32"/>
          <w:szCs w:val="32"/>
          <w:lang w:val="en-US" w:eastAsia="zh-CN"/>
        </w:rPr>
        <w:t>以“一业一查”</w:t>
      </w:r>
      <w:r>
        <w:rPr>
          <w:rFonts w:hint="eastAsia" w:ascii="仿宋" w:hAnsi="仿宋" w:cs="仿宋"/>
          <w:b/>
          <w:bCs/>
          <w:sz w:val="32"/>
          <w:szCs w:val="32"/>
          <w:lang w:val="en-US" w:eastAsia="zh-CN"/>
        </w:rPr>
        <w:t>为</w:t>
      </w:r>
      <w:r>
        <w:rPr>
          <w:rFonts w:hint="eastAsia" w:ascii="仿宋" w:hAnsi="仿宋" w:eastAsia="仿宋" w:cs="仿宋"/>
          <w:b/>
          <w:bCs/>
          <w:sz w:val="32"/>
          <w:szCs w:val="32"/>
          <w:lang w:val="en-US" w:eastAsia="zh-CN"/>
        </w:rPr>
        <w:t>牵引推进联查常态化</w:t>
      </w:r>
      <w:r>
        <w:rPr>
          <w:rFonts w:hint="eastAsia" w:ascii="仿宋" w:hAnsi="仿宋" w:cs="仿宋"/>
          <w:b/>
          <w:bCs/>
          <w:sz w:val="32"/>
          <w:szCs w:val="32"/>
          <w:lang w:val="en-US" w:eastAsia="zh-CN"/>
        </w:rPr>
        <w:t>。</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按照“谁主管、谁监管”原则，建立市场监管部门协调、行业主管部门牵头、相关部门参与的长效</w:t>
      </w:r>
      <w:r>
        <w:rPr>
          <w:rFonts w:hint="eastAsia" w:ascii="仿宋" w:hAnsi="仿宋" w:cs="仿宋"/>
          <w:sz w:val="32"/>
          <w:szCs w:val="32"/>
          <w:lang w:val="en-US" w:eastAsia="zh-CN"/>
        </w:rPr>
        <w:t>联查</w:t>
      </w:r>
      <w:r>
        <w:rPr>
          <w:rFonts w:hint="eastAsia" w:ascii="仿宋" w:hAnsi="仿宋" w:eastAsia="仿宋" w:cs="仿宋"/>
          <w:sz w:val="32"/>
          <w:szCs w:val="32"/>
          <w:lang w:val="en-US" w:eastAsia="zh-CN"/>
        </w:rPr>
        <w:t>机制</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推动</w:t>
      </w:r>
      <w:r>
        <w:rPr>
          <w:rFonts w:hint="eastAsia" w:ascii="仿宋" w:hAnsi="仿宋" w:cs="仿宋"/>
          <w:sz w:val="32"/>
          <w:szCs w:val="32"/>
          <w:lang w:val="en-US" w:eastAsia="zh-CN"/>
        </w:rPr>
        <w:t>行业主管部门按照《黑龙江省市场监管领域部门联合双随机“一业一查”事项清单暨部门联查事项清单（第四版）》制定联查计划，实施“一业一查”，</w:t>
      </w:r>
      <w:r>
        <w:rPr>
          <w:rFonts w:hint="eastAsia" w:ascii="仿宋" w:hAnsi="仿宋" w:eastAsia="仿宋" w:cs="仿宋"/>
          <w:sz w:val="32"/>
          <w:szCs w:val="32"/>
          <w:lang w:val="en-US" w:eastAsia="zh-CN"/>
        </w:rPr>
        <w:t>最大限度减少对企打扰，从根本上解决多头监管、重复检查问题。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（二）积极探索监管手段创新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依托黑龙江省企业信用风险分类管理系统和黑龙江省智慧市场监管一体化平台</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加强风险隐患监测预警信息综合研判和有效处置</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实现风险提示预警、线索分发处理，</w:t>
      </w:r>
      <w:r>
        <w:rPr>
          <w:rFonts w:hint="eastAsia" w:ascii="仿宋" w:hAnsi="仿宋" w:cs="仿宋"/>
          <w:sz w:val="32"/>
          <w:szCs w:val="32"/>
          <w:lang w:val="en-US" w:eastAsia="zh-CN"/>
        </w:rPr>
        <w:t>及时</w:t>
      </w:r>
      <w:r>
        <w:rPr>
          <w:rFonts w:hint="eastAsia" w:ascii="仿宋" w:hAnsi="仿宋" w:eastAsia="仿宋" w:cs="仿宋"/>
          <w:sz w:val="32"/>
          <w:szCs w:val="32"/>
          <w:lang w:val="en-US" w:eastAsia="zh-CN"/>
        </w:rPr>
        <w:t>指挥调度</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及早发现、综合研判、有效处置各类风险隐患，精准有效监管。</w:t>
      </w:r>
      <w:r>
        <w:rPr>
          <w:rFonts w:hint="eastAsia" w:ascii="仿宋" w:hAnsi="仿宋" w:cs="仿宋"/>
          <w:sz w:val="32"/>
          <w:szCs w:val="32"/>
          <w:lang w:val="en-US" w:eastAsia="zh-CN"/>
        </w:rPr>
        <w:t>鼓励有条件的市县</w:t>
      </w:r>
      <w:r>
        <w:rPr>
          <w:rFonts w:hint="eastAsia" w:ascii="仿宋" w:hAnsi="仿宋" w:eastAsia="仿宋" w:cs="仿宋"/>
          <w:sz w:val="32"/>
          <w:szCs w:val="32"/>
          <w:lang w:val="en-US" w:eastAsia="zh-CN"/>
        </w:rPr>
        <w:t>先行先试，逐步拓宽非现场、大数据等新型技术手段应用场景，探索</w:t>
      </w:r>
      <w:r>
        <w:rPr>
          <w:rFonts w:hint="eastAsia" w:ascii="仿宋" w:hAnsi="仿宋" w:cs="仿宋"/>
          <w:sz w:val="32"/>
          <w:szCs w:val="32"/>
          <w:lang w:val="en-US" w:eastAsia="zh-CN"/>
        </w:rPr>
        <w:t>实施</w:t>
      </w:r>
      <w:r>
        <w:rPr>
          <w:rFonts w:hint="eastAsia" w:ascii="仿宋" w:hAnsi="仿宋" w:eastAsia="仿宋" w:cs="仿宋"/>
          <w:sz w:val="32"/>
          <w:szCs w:val="32"/>
          <w:lang w:val="en-US" w:eastAsia="zh-CN"/>
        </w:rPr>
        <w:t>远程监管、移动监管，推动双随机监管向移动端延伸，开发具备任务接收、现场采集、结果录入、信息查询、风险预警等功能的移动监管</w:t>
      </w:r>
      <w:r>
        <w:rPr>
          <w:rFonts w:hint="default" w:ascii="Times New Roman" w:hAnsi="Times New Roman" w:eastAsia="仿宋" w:cs="Times New Roman"/>
          <w:sz w:val="32"/>
          <w:szCs w:val="32"/>
          <w:lang w:val="en-US" w:eastAsia="zh-CN"/>
        </w:rPr>
        <w:t>APP</w:t>
      </w:r>
      <w:r>
        <w:rPr>
          <w:rFonts w:hint="eastAsia" w:ascii="仿宋" w:hAnsi="仿宋" w:eastAsia="仿宋" w:cs="仿宋"/>
          <w:sz w:val="32"/>
          <w:szCs w:val="32"/>
          <w:lang w:val="en-US" w:eastAsia="zh-CN"/>
        </w:rPr>
        <w:t>，实现“指尖管”“掌上查”</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提升监管便捷化、科学化水平。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（三）试点探索监管方式创新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cs="仿宋"/>
          <w:sz w:val="32"/>
          <w:szCs w:val="32"/>
          <w:lang w:val="en-US" w:eastAsia="zh-CN"/>
        </w:rPr>
      </w:pPr>
      <w:r>
        <w:rPr>
          <w:rFonts w:hint="eastAsia" w:ascii="仿宋" w:hAnsi="仿宋" w:cs="仿宋"/>
          <w:b/>
          <w:bCs/>
          <w:sz w:val="32"/>
          <w:szCs w:val="32"/>
          <w:lang w:val="en-US" w:eastAsia="zh-CN"/>
        </w:rPr>
        <w:t>试点触发式“沙盒”监管。</w:t>
      </w:r>
      <w:r>
        <w:rPr>
          <w:rFonts w:hint="eastAsia" w:ascii="仿宋" w:hAnsi="仿宋" w:eastAsia="仿宋" w:cs="仿宋"/>
          <w:sz w:val="32"/>
          <w:szCs w:val="32"/>
          <w:lang w:val="en-US" w:eastAsia="zh-CN"/>
        </w:rPr>
        <w:t>在齐齐哈尔市试点对公共安全、生命财产安全</w:t>
      </w:r>
      <w:r>
        <w:rPr>
          <w:rFonts w:hint="eastAsia" w:ascii="仿宋" w:hAnsi="仿宋" w:cs="仿宋"/>
          <w:sz w:val="32"/>
          <w:szCs w:val="32"/>
          <w:lang w:val="en-US" w:eastAsia="zh-CN"/>
        </w:rPr>
        <w:t>以及</w:t>
      </w:r>
      <w:r>
        <w:rPr>
          <w:rFonts w:hint="eastAsia" w:ascii="仿宋" w:hAnsi="仿宋" w:eastAsia="仿宋" w:cs="仿宋"/>
          <w:sz w:val="32"/>
          <w:szCs w:val="32"/>
          <w:lang w:val="en-US" w:eastAsia="zh-CN"/>
        </w:rPr>
        <w:t>人身健康以外的新技术新产业新业态新模式“四新”低风险企业实施触发式“沙盒”监管。建立“沙盒”监管对象库</w:t>
      </w:r>
      <w:r>
        <w:rPr>
          <w:rFonts w:hint="eastAsia" w:ascii="仿宋" w:hAnsi="仿宋" w:cs="仿宋"/>
          <w:sz w:val="32"/>
          <w:szCs w:val="32"/>
          <w:lang w:val="en-US" w:eastAsia="zh-CN"/>
        </w:rPr>
        <w:t>并</w:t>
      </w:r>
      <w:r>
        <w:rPr>
          <w:rFonts w:hint="eastAsia" w:ascii="仿宋" w:hAnsi="仿宋" w:eastAsia="仿宋" w:cs="仿宋"/>
          <w:sz w:val="32"/>
          <w:szCs w:val="32"/>
          <w:lang w:val="en-US" w:eastAsia="zh-CN"/>
        </w:rPr>
        <w:t>实施动态管理。“沙盒”企业日常监管以投诉举报、转办交办的“事件触发式”检查为主</w:t>
      </w:r>
      <w:r>
        <w:rPr>
          <w:rFonts w:hint="eastAsia" w:ascii="仿宋" w:hAnsi="仿宋" w:cs="仿宋"/>
          <w:sz w:val="32"/>
          <w:szCs w:val="32"/>
          <w:lang w:val="en-US" w:eastAsia="zh-CN"/>
        </w:rPr>
        <w:t>，并</w:t>
      </w:r>
      <w:r>
        <w:rPr>
          <w:rFonts w:hint="eastAsia" w:ascii="仿宋" w:hAnsi="仿宋" w:eastAsia="仿宋" w:cs="仿宋"/>
          <w:sz w:val="32"/>
          <w:szCs w:val="32"/>
          <w:lang w:val="en-US" w:eastAsia="zh-CN"/>
        </w:rPr>
        <w:t>实行容错机制，给予一年“包容期”</w:t>
      </w:r>
      <w:r>
        <w:rPr>
          <w:rFonts w:hint="eastAsia" w:ascii="仿宋" w:hAnsi="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探索</w:t>
      </w:r>
      <w:r>
        <w:rPr>
          <w:rFonts w:hint="eastAsia" w:ascii="仿宋" w:hAnsi="仿宋" w:cs="仿宋"/>
          <w:b/>
          <w:bCs/>
          <w:sz w:val="32"/>
          <w:szCs w:val="32"/>
          <w:lang w:val="en-US" w:eastAsia="zh-CN"/>
        </w:rPr>
        <w:t>建立“白名单”制度。</w:t>
      </w:r>
      <w:r>
        <w:rPr>
          <w:rFonts w:hint="eastAsia" w:ascii="仿宋" w:hAnsi="仿宋" w:eastAsia="仿宋" w:cs="仿宋"/>
          <w:sz w:val="32"/>
          <w:szCs w:val="32"/>
          <w:lang w:val="en-US" w:eastAsia="zh-CN"/>
        </w:rPr>
        <w:t>探索建立广告产业信用同盟，对同盟企业纳入“白名单”管理，合理降低抽查比例频次，根据实际情况以网络监测、书面检查等非现场检查方式为主，除投诉举报、大数据监测发现问题、转办交办案件线索及法律法规另有规定外，可不主动实施现场检查，实现“无事不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eastAsia="楷体"/>
          <w:sz w:val="32"/>
          <w:szCs w:val="32"/>
        </w:rPr>
      </w:pPr>
      <w:r>
        <w:rPr>
          <w:rStyle w:val="12"/>
          <w:rFonts w:hint="eastAsia" w:eastAsia="楷体"/>
          <w:sz w:val="32"/>
          <w:szCs w:val="32"/>
        </w:rPr>
        <w:t>（四）</w:t>
      </w:r>
      <w:r>
        <w:rPr>
          <w:rStyle w:val="12"/>
          <w:rFonts w:hint="eastAsia" w:eastAsia="楷体"/>
          <w:sz w:val="32"/>
          <w:szCs w:val="32"/>
          <w:lang w:eastAsia="zh-CN"/>
        </w:rPr>
        <w:t>探索</w:t>
      </w:r>
      <w:r>
        <w:rPr>
          <w:rStyle w:val="12"/>
          <w:rFonts w:hint="eastAsia" w:eastAsia="楷体"/>
          <w:sz w:val="32"/>
          <w:szCs w:val="32"/>
        </w:rPr>
        <w:t>建立跨域联查机制</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textAlignment w:val="auto"/>
        <w:rPr>
          <w:rFonts w:hint="eastAsia" w:ascii="仿宋" w:hAnsi="仿宋" w:cs="仿宋"/>
          <w:sz w:val="32"/>
          <w:szCs w:val="32"/>
        </w:rPr>
      </w:pPr>
      <w:r>
        <w:rPr>
          <w:rFonts w:hint="eastAsia" w:ascii="仿宋" w:hAnsi="仿宋" w:eastAsia="仿宋" w:cs="仿宋"/>
          <w:b w:val="0"/>
          <w:bCs/>
          <w:sz w:val="32"/>
          <w:szCs w:val="32"/>
        </w:rPr>
        <w:t>在鸡西、双鸭山、七台河</w:t>
      </w:r>
      <w:r>
        <w:rPr>
          <w:rFonts w:hint="eastAsia" w:ascii="仿宋" w:hAnsi="仿宋" w:cs="仿宋"/>
          <w:b w:val="0"/>
          <w:bCs/>
          <w:sz w:val="32"/>
          <w:szCs w:val="32"/>
          <w:lang w:eastAsia="zh-CN"/>
        </w:rPr>
        <w:t>、鹤岗四</w:t>
      </w:r>
      <w:r>
        <w:rPr>
          <w:rFonts w:hint="eastAsia" w:ascii="仿宋" w:hAnsi="仿宋" w:eastAsia="仿宋" w:cs="仿宋"/>
          <w:b w:val="0"/>
          <w:bCs/>
          <w:sz w:val="32"/>
          <w:szCs w:val="32"/>
        </w:rPr>
        <w:t>煤城试点建立“跨区域联合双随机”机制。通过定期会商、定期通报、定期交流等方式，从监管信息共享、监管规则统一、监管信息互认三个方面推动制度创新，谋划实现路径。监管信息共享方面，依托综合监管系统，实现检查人员和监管对象数据共享应用，为监管“协同化”提供数据互通联动的信息化支撑。监管规则统一方面，全面应用信用风险分类结果制定抽查计划，按照全省统一的联查指引和省级地标开展标准化规范化检查，实现异地同标、联查同据、协管同规，保证跨区域监管公平性。监管信息互认方面，实现经营异常名录、严重违法失信名单、抽查检查结果、信用风险分类结果、联合惩戒、信用修复、信用激励等信用信息跨区域互认。</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（五）建立结果信息修复机制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抽查检查结果公示信息修复机制，抽查检查结果相关负面信息通过公示系统向社会公示届满三年的，市场监督管理部门停止公示。除食品、药品、医疗器械、化妆品、特种设备、重点工业产品领域外，其他领域抽查检查结果相关负面信息涉及责令停止违法行为或者责令改正的，整改完成后，当事人可以申请信用修复：当事人因抽查检查结果相关负面信息被行政处罚的，该抽查检查结果相关负面信息公示期与行政处罚信息公示期保持一致。行政处罚信息公示完成信用修复的，应当同时停止相关抽查检查结果负面信息公示。抽查检查结果信用修复具体要求，按照《市场监督管理信用修复管理办法》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六、切实加强组织保障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Style w:val="12"/>
          <w:rFonts w:hint="eastAsia"/>
          <w:lang w:val="en-US" w:eastAsia="zh-CN"/>
        </w:rPr>
      </w:pPr>
      <w:r>
        <w:rPr>
          <w:rStyle w:val="12"/>
          <w:rFonts w:hint="eastAsia"/>
          <w:lang w:val="en-US" w:eastAsia="zh-CN"/>
        </w:rPr>
        <w:t>（一）健全领导机制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要充分认识全面深化“双随机、一公开”监管的重要意义，健全机制，周密部署</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狠抓落实</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跟踪问效，扎实做好资源整合、队伍磨合、技能提升等工作</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确保各项任务落实落地落细。</w:t>
      </w:r>
      <w:r>
        <w:rPr>
          <w:rFonts w:hint="eastAsia" w:ascii="仿宋" w:hAnsi="仿宋" w:cs="仿宋"/>
          <w:sz w:val="32"/>
          <w:szCs w:val="32"/>
          <w:lang w:val="en-US" w:eastAsia="zh-CN"/>
        </w:rPr>
        <w:t>要按年度</w:t>
      </w:r>
      <w:r>
        <w:rPr>
          <w:rFonts w:hint="eastAsia" w:ascii="仿宋" w:hAnsi="仿宋" w:eastAsia="仿宋" w:cs="仿宋"/>
          <w:sz w:val="32"/>
          <w:szCs w:val="32"/>
          <w:lang w:val="en-US" w:eastAsia="zh-CN"/>
        </w:rPr>
        <w:t>召开联席会议</w:t>
      </w:r>
      <w:r>
        <w:rPr>
          <w:rFonts w:hint="eastAsia" w:ascii="仿宋" w:hAnsi="仿宋" w:cs="仿宋"/>
          <w:sz w:val="32"/>
          <w:szCs w:val="32"/>
          <w:lang w:val="en-US" w:eastAsia="zh-CN"/>
        </w:rPr>
        <w:t>推进部署工作，根据实际</w:t>
      </w:r>
      <w:r>
        <w:rPr>
          <w:rFonts w:hint="eastAsia" w:ascii="仿宋" w:hAnsi="仿宋" w:eastAsia="仿宋" w:cs="仿宋"/>
          <w:sz w:val="32"/>
          <w:szCs w:val="32"/>
          <w:lang w:val="en-US" w:eastAsia="zh-CN"/>
        </w:rPr>
        <w:t>动态调整成员单位</w:t>
      </w:r>
      <w:r>
        <w:rPr>
          <w:rFonts w:hint="eastAsia" w:ascii="仿宋" w:hAnsi="仿宋" w:cs="仿宋"/>
          <w:sz w:val="32"/>
          <w:szCs w:val="32"/>
          <w:lang w:val="en-US" w:eastAsia="zh-CN"/>
        </w:rPr>
        <w:t>及人员组成。</w:t>
      </w:r>
      <w:r>
        <w:rPr>
          <w:rFonts w:hint="eastAsia" w:ascii="仿宋" w:hAnsi="仿宋" w:eastAsia="仿宋" w:cs="仿宋"/>
          <w:sz w:val="32"/>
          <w:szCs w:val="32"/>
          <w:lang w:val="en-US" w:eastAsia="zh-CN"/>
        </w:rPr>
        <w:t>要</w:t>
      </w:r>
      <w:r>
        <w:rPr>
          <w:rFonts w:hint="eastAsia" w:ascii="仿宋" w:hAnsi="仿宋" w:cs="仿宋"/>
          <w:sz w:val="32"/>
          <w:szCs w:val="32"/>
          <w:lang w:val="en-US" w:eastAsia="zh-CN"/>
        </w:rPr>
        <w:t>召开会议研究，将“双随机、一公开”监管经费纳入预算，</w:t>
      </w:r>
      <w:r>
        <w:rPr>
          <w:rFonts w:hint="eastAsia" w:ascii="仿宋" w:hAnsi="仿宋" w:eastAsia="仿宋" w:cs="仿宋"/>
          <w:sz w:val="32"/>
          <w:szCs w:val="32"/>
          <w:lang w:val="en-US" w:eastAsia="zh-CN"/>
        </w:rPr>
        <w:t>通过现有渠道统筹做好经费保障。</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分级开展“双随机、一公开”</w:t>
      </w:r>
      <w:r>
        <w:rPr>
          <w:rFonts w:hint="eastAsia" w:ascii="仿宋" w:hAnsi="仿宋" w:cs="仿宋"/>
          <w:sz w:val="32"/>
          <w:szCs w:val="32"/>
          <w:lang w:val="en-US" w:eastAsia="zh-CN"/>
        </w:rPr>
        <w:t>检查</w:t>
      </w:r>
      <w:r>
        <w:rPr>
          <w:rFonts w:hint="eastAsia" w:ascii="仿宋" w:hAnsi="仿宋" w:eastAsia="仿宋" w:cs="仿宋"/>
          <w:sz w:val="32"/>
          <w:szCs w:val="32"/>
          <w:lang w:val="en-US" w:eastAsia="zh-CN"/>
        </w:rPr>
        <w:t>人员全员培训</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省市场监管局负责培训系统</w:t>
      </w:r>
      <w:r>
        <w:rPr>
          <w:rFonts w:hint="eastAsia" w:ascii="仿宋" w:hAnsi="仿宋" w:cs="仿宋"/>
          <w:sz w:val="32"/>
          <w:szCs w:val="32"/>
          <w:lang w:val="en-US" w:eastAsia="zh-CN"/>
        </w:rPr>
        <w:t>及省级成员单位</w:t>
      </w:r>
      <w:r>
        <w:rPr>
          <w:rFonts w:hint="eastAsia" w:ascii="仿宋" w:hAnsi="仿宋" w:eastAsia="仿宋" w:cs="仿宋"/>
          <w:sz w:val="32"/>
          <w:szCs w:val="32"/>
          <w:lang w:val="en-US" w:eastAsia="zh-CN"/>
        </w:rPr>
        <w:t>师资、业务骨干</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市、县两级市场监管部门</w:t>
      </w:r>
      <w:r>
        <w:rPr>
          <w:rFonts w:hint="eastAsia" w:ascii="仿宋" w:hAnsi="仿宋" w:cs="仿宋"/>
          <w:sz w:val="32"/>
          <w:szCs w:val="32"/>
          <w:lang w:val="en-US" w:eastAsia="zh-CN"/>
        </w:rPr>
        <w:t>负责本级</w:t>
      </w:r>
      <w:r>
        <w:rPr>
          <w:rFonts w:hint="eastAsia" w:ascii="仿宋" w:hAnsi="仿宋" w:eastAsia="仿宋" w:cs="仿宋"/>
          <w:sz w:val="32"/>
          <w:szCs w:val="32"/>
          <w:lang w:val="en-US" w:eastAsia="zh-CN"/>
        </w:rPr>
        <w:t>培训。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（二）督考结合推进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省市场监管局</w:t>
      </w:r>
      <w:r>
        <w:rPr>
          <w:rFonts w:hint="eastAsia" w:ascii="仿宋" w:hAnsi="仿宋" w:eastAsia="仿宋" w:cs="仿宋"/>
          <w:sz w:val="32"/>
          <w:szCs w:val="32"/>
          <w:lang w:val="en-US" w:eastAsia="zh-CN"/>
        </w:rPr>
        <w:t>将推进“双随机、一公开”监管与信用风险分类管理结合纳入市（地）优化营商环境重点工作任务考评指标及主要责任目标考核实施细则，督考结合，高位推动，确保质效。</w:t>
      </w:r>
      <w:r>
        <w:rPr>
          <w:rFonts w:hint="eastAsia" w:ascii="仿宋" w:hAnsi="仿宋" w:cs="仿宋"/>
          <w:sz w:val="32"/>
          <w:szCs w:val="32"/>
          <w:lang w:val="en-US" w:eastAsia="zh-CN"/>
        </w:rPr>
        <w:t>市（地）要参照省局做法对县区开展督查考核。</w:t>
      </w:r>
      <w:r>
        <w:rPr>
          <w:rFonts w:hint="eastAsia" w:ascii="仿宋" w:hAnsi="仿宋" w:eastAsia="仿宋" w:cs="仿宋"/>
          <w:sz w:val="32"/>
          <w:szCs w:val="32"/>
          <w:lang w:val="en-US" w:eastAsia="zh-CN"/>
        </w:rPr>
        <w:t>要在抽查户次占比、部门联合双随机监管率、检查结果按时公示率、发现问题处置率等效果评价方面建立科学量化指标，积极发挥评价工作的指导指引、激励鞭策作用，</w:t>
      </w:r>
      <w:r>
        <w:rPr>
          <w:rFonts w:hint="eastAsia" w:ascii="仿宋" w:hAnsi="仿宋" w:cs="仿宋"/>
          <w:sz w:val="32"/>
          <w:szCs w:val="32"/>
          <w:lang w:val="en-US" w:eastAsia="zh-CN"/>
        </w:rPr>
        <w:t>及时</w:t>
      </w:r>
      <w:r>
        <w:rPr>
          <w:rFonts w:hint="eastAsia" w:ascii="仿宋" w:hAnsi="仿宋" w:eastAsia="仿宋" w:cs="仿宋"/>
          <w:sz w:val="32"/>
          <w:szCs w:val="32"/>
          <w:lang w:val="en-US" w:eastAsia="zh-CN"/>
        </w:rPr>
        <w:t>总结推广成效明显做法，</w:t>
      </w:r>
      <w:r>
        <w:rPr>
          <w:rFonts w:hint="eastAsia" w:ascii="仿宋" w:hAnsi="仿宋" w:cs="仿宋"/>
          <w:sz w:val="32"/>
          <w:szCs w:val="32"/>
          <w:lang w:val="en-US" w:eastAsia="zh-CN"/>
        </w:rPr>
        <w:t>通报批评、</w:t>
      </w:r>
      <w:r>
        <w:rPr>
          <w:rFonts w:hint="eastAsia" w:ascii="仿宋" w:hAnsi="仿宋" w:eastAsia="仿宋" w:cs="仿宋"/>
          <w:sz w:val="32"/>
          <w:szCs w:val="32"/>
          <w:lang w:val="en-US" w:eastAsia="zh-CN"/>
        </w:rPr>
        <w:t>指导改进</w:t>
      </w:r>
      <w:r>
        <w:rPr>
          <w:rFonts w:hint="eastAsia" w:ascii="仿宋" w:hAnsi="仿宋" w:cs="仿宋"/>
          <w:sz w:val="32"/>
          <w:szCs w:val="32"/>
          <w:lang w:val="en-US" w:eastAsia="zh-CN"/>
        </w:rPr>
        <w:t>问题短板</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（三）实施核查回访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各地要</w:t>
      </w:r>
      <w:r>
        <w:rPr>
          <w:rFonts w:hint="eastAsia" w:ascii="仿宋" w:hAnsi="仿宋" w:eastAsia="仿宋" w:cs="仿宋"/>
          <w:sz w:val="32"/>
          <w:szCs w:val="32"/>
          <w:lang w:val="en-US" w:eastAsia="zh-CN"/>
        </w:rPr>
        <w:t>以持续优化营商环境为导向，</w:t>
      </w:r>
      <w:r>
        <w:rPr>
          <w:rFonts w:hint="eastAsia" w:ascii="仿宋" w:hAnsi="仿宋" w:cs="仿宋"/>
          <w:sz w:val="32"/>
          <w:szCs w:val="32"/>
          <w:lang w:val="en-US" w:eastAsia="zh-CN"/>
        </w:rPr>
        <w:t>实施</w:t>
      </w:r>
      <w:r>
        <w:rPr>
          <w:rFonts w:hint="eastAsia" w:ascii="仿宋" w:hAnsi="仿宋" w:eastAsia="仿宋" w:cs="仿宋"/>
          <w:sz w:val="32"/>
          <w:szCs w:val="32"/>
          <w:lang w:val="en-US" w:eastAsia="zh-CN"/>
        </w:rPr>
        <w:t>“双随机、一公开”监管核查回访工作制度，推动“双随机、一公开”监管实现全链条闭环管控。采取实地回访、电话回访、网络回访、召开座谈会等多种方式，回访“双随机、一公开”监管中检查人员是否存在效率低，不作为、慢作为现象，是否按程序开展监督检查，是否敷衍检查走过场，是否弄虚作假徇私情、吃拿卡要微腐败。通过横纵联动核查回访，及时发现和解决监管中出现的问题，保证检查人员有效履行职责，防范化解廉政风险，以闭环管控推动阳光监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lang w:val="en-US" w:eastAsia="zh-CN"/>
        </w:rPr>
      </w:pPr>
      <w:r>
        <w:rPr>
          <w:rFonts w:hint="eastAsia" w:ascii="楷体" w:hAnsi="楷体" w:eastAsia="楷体" w:cs="楷体"/>
          <w:b/>
          <w:bCs/>
          <w:lang w:val="en-US" w:eastAsia="zh-CN"/>
        </w:rPr>
        <w:t>（四）依法问责免责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各地坚决落实国发</w:t>
      </w:r>
      <w:r>
        <w:rPr>
          <w:rFonts w:hint="default" w:ascii="Times New Roman" w:hAnsi="Times New Roman" w:cs="Times New Roman"/>
          <w:sz w:val="32"/>
          <w:szCs w:val="32"/>
          <w:lang w:val="en-US" w:eastAsia="zh-CN"/>
        </w:rPr>
        <w:t>〔2019〕5号、黑政发〔2019〕7</w:t>
      </w:r>
      <w:r>
        <w:rPr>
          <w:rFonts w:hint="eastAsia" w:ascii="仿宋" w:hAnsi="仿宋" w:cs="仿宋"/>
          <w:sz w:val="32"/>
          <w:szCs w:val="32"/>
          <w:lang w:val="en-US" w:eastAsia="zh-CN"/>
        </w:rPr>
        <w:t>号文件</w:t>
      </w:r>
      <w:r>
        <w:rPr>
          <w:rFonts w:hint="eastAsia" w:ascii="仿宋" w:hAnsi="仿宋" w:eastAsia="仿宋" w:cs="仿宋"/>
          <w:sz w:val="32"/>
          <w:szCs w:val="32"/>
          <w:lang w:val="en-US" w:eastAsia="zh-CN"/>
        </w:rPr>
        <w:t>“尽职照单免责、失职照单问责”原则</w:t>
      </w:r>
      <w:r>
        <w:rPr>
          <w:rFonts w:hint="eastAsia" w:ascii="仿宋" w:hAnsi="仿宋" w:cs="仿宋"/>
          <w:sz w:val="32"/>
          <w:szCs w:val="32"/>
          <w:lang w:val="en-US" w:eastAsia="zh-CN"/>
        </w:rPr>
        <w:t>及《黑龙江省市场监督管理系统容错免责清单》关于容错免责的相关规定</w:t>
      </w:r>
      <w:r>
        <w:rPr>
          <w:rFonts w:hint="eastAsia" w:ascii="仿宋" w:hAnsi="仿宋" w:eastAsia="仿宋" w:cs="仿宋"/>
          <w:sz w:val="32"/>
          <w:szCs w:val="32"/>
          <w:lang w:val="en-US" w:eastAsia="zh-CN"/>
        </w:rPr>
        <w:t>，依法依规</w:t>
      </w:r>
      <w:r>
        <w:rPr>
          <w:rFonts w:hint="eastAsia" w:ascii="仿宋" w:hAnsi="仿宋" w:cs="仿宋"/>
          <w:sz w:val="32"/>
          <w:szCs w:val="32"/>
          <w:lang w:val="en-US" w:eastAsia="zh-CN"/>
        </w:rPr>
        <w:t>实施</w:t>
      </w:r>
      <w:r>
        <w:rPr>
          <w:rFonts w:hint="eastAsia" w:ascii="仿宋" w:hAnsi="仿宋" w:eastAsia="仿宋" w:cs="仿宋"/>
          <w:sz w:val="32"/>
          <w:szCs w:val="32"/>
          <w:lang w:val="en-US" w:eastAsia="zh-CN"/>
        </w:rPr>
        <w:t>问责免责</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对忠于职守、履职尽责的，要给予表扬和鼓励；对未履行、不当履行或违法履行“双随机、一公开”监管职责的，要依法依规严肃处理；涉嫌犯罪的，要移送有关机关依法处理。既</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严格问责追责，又</w:t>
      </w:r>
      <w:r>
        <w:rPr>
          <w:rFonts w:hint="eastAsia" w:ascii="仿宋" w:hAnsi="仿宋" w:cs="仿宋"/>
          <w:sz w:val="32"/>
          <w:szCs w:val="32"/>
          <w:lang w:val="en-US" w:eastAsia="zh-CN"/>
        </w:rPr>
        <w:t>要依法依规免责，</w:t>
      </w:r>
      <w:r>
        <w:rPr>
          <w:rFonts w:hint="eastAsia" w:ascii="仿宋" w:hAnsi="仿宋" w:eastAsia="仿宋" w:cs="仿宋"/>
          <w:sz w:val="32"/>
          <w:szCs w:val="32"/>
          <w:lang w:val="en-US" w:eastAsia="zh-CN"/>
        </w:rPr>
        <w:t>保护执法人员担当作为、干事创业积极性。</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eastAsia"/>
          <w:lang w:val="en-US" w:eastAsia="zh-CN"/>
        </w:rPr>
      </w:pPr>
      <w:r>
        <w:rPr>
          <w:rFonts w:hint="eastAsia" w:ascii="楷体" w:hAnsi="楷体" w:eastAsia="楷体" w:cs="楷体"/>
          <w:b/>
          <w:bCs/>
          <w:lang w:val="en-US" w:eastAsia="zh-CN"/>
        </w:rPr>
        <w:t>（五）营造良好氛围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outlineLvl w:val="9"/>
        <w:rPr>
          <w:rFonts w:hint="default"/>
          <w:lang w:val="en-US" w:eastAsia="zh-CN"/>
        </w:rPr>
      </w:pPr>
      <w:r>
        <w:rPr>
          <w:rFonts w:hint="eastAsia" w:ascii="仿宋" w:hAnsi="仿宋" w:eastAsia="仿宋" w:cs="仿宋"/>
          <w:sz w:val="32"/>
          <w:szCs w:val="32"/>
          <w:lang w:val="en-US" w:eastAsia="zh-CN"/>
        </w:rPr>
        <w:t>各地</w:t>
      </w:r>
      <w:r>
        <w:rPr>
          <w:rFonts w:hint="eastAsia" w:ascii="仿宋" w:hAnsi="仿宋" w:cs="仿宋"/>
          <w:sz w:val="32"/>
          <w:szCs w:val="32"/>
          <w:lang w:val="en-US" w:eastAsia="zh-CN"/>
        </w:rPr>
        <w:t>要</w:t>
      </w:r>
      <w:r>
        <w:rPr>
          <w:rFonts w:hint="eastAsia" w:ascii="仿宋" w:hAnsi="仿宋" w:eastAsia="仿宋" w:cs="仿宋"/>
          <w:sz w:val="32"/>
          <w:szCs w:val="32"/>
          <w:lang w:val="en-US" w:eastAsia="zh-CN"/>
        </w:rPr>
        <w:t>加大宣传力度，提升“双随机、一公开”监管的社会影响力和公众知晓度，加快形成政府公正监管、企业诚信自律、社会公众监督的良好氛围。</w:t>
      </w:r>
    </w:p>
    <w:sectPr>
      <w:headerReference r:id="rId6" w:type="first"/>
      <w:footerReference r:id="rId9" w:type="first"/>
      <w:headerReference r:id="rId5" w:type="default"/>
      <w:footerReference r:id="rId7" w:type="default"/>
      <w:footerReference r:id="rId8" w:type="even"/>
      <w:pgSz w:w="11906" w:h="16838"/>
      <w:pgMar w:top="2098" w:right="1474" w:bottom="1984" w:left="1587" w:header="851" w:footer="1587" w:gutter="0"/>
      <w:pgNumType w:fmt="decimal"/>
      <w:cols w:space="0" w:num="1"/>
      <w:titlePg/>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F2661"/>
    <w:rsid w:val="0DD62674"/>
    <w:rsid w:val="0E3F6FF1"/>
    <w:rsid w:val="0FAB0ADC"/>
    <w:rsid w:val="0FF34378"/>
    <w:rsid w:val="135949FB"/>
    <w:rsid w:val="13E7E40E"/>
    <w:rsid w:val="156F6D6E"/>
    <w:rsid w:val="15CF6E14"/>
    <w:rsid w:val="17CEDF22"/>
    <w:rsid w:val="17FFC4D1"/>
    <w:rsid w:val="183EB624"/>
    <w:rsid w:val="1B5E66DF"/>
    <w:rsid w:val="1BF4F068"/>
    <w:rsid w:val="1BFF8F93"/>
    <w:rsid w:val="1C9E56CA"/>
    <w:rsid w:val="1CF572F4"/>
    <w:rsid w:val="1D4A3343"/>
    <w:rsid w:val="1D9D01D6"/>
    <w:rsid w:val="1DF1E15E"/>
    <w:rsid w:val="1FACC9C4"/>
    <w:rsid w:val="1FB6C1AB"/>
    <w:rsid w:val="1FBB5BBE"/>
    <w:rsid w:val="1FBFD0CB"/>
    <w:rsid w:val="1FF65A94"/>
    <w:rsid w:val="1FFA3758"/>
    <w:rsid w:val="1FFF0878"/>
    <w:rsid w:val="229D93F2"/>
    <w:rsid w:val="22BF6411"/>
    <w:rsid w:val="2367E1F0"/>
    <w:rsid w:val="2373DDA6"/>
    <w:rsid w:val="23D7663B"/>
    <w:rsid w:val="26D2D1C7"/>
    <w:rsid w:val="273F1455"/>
    <w:rsid w:val="27B743D9"/>
    <w:rsid w:val="27EDDF13"/>
    <w:rsid w:val="29FBE15F"/>
    <w:rsid w:val="2AFF09F7"/>
    <w:rsid w:val="2B702222"/>
    <w:rsid w:val="2B7DE723"/>
    <w:rsid w:val="2BF771CA"/>
    <w:rsid w:val="2BFB1EAF"/>
    <w:rsid w:val="2BFE5484"/>
    <w:rsid w:val="2D7FD0CF"/>
    <w:rsid w:val="2EBFD8C8"/>
    <w:rsid w:val="2EEBB061"/>
    <w:rsid w:val="2EFDE8F3"/>
    <w:rsid w:val="2EFDF415"/>
    <w:rsid w:val="2EFE6018"/>
    <w:rsid w:val="2EFF1AB6"/>
    <w:rsid w:val="2FAB9298"/>
    <w:rsid w:val="2FBFC8B0"/>
    <w:rsid w:val="2FDFCA87"/>
    <w:rsid w:val="2FFDF39D"/>
    <w:rsid w:val="2FFFDC20"/>
    <w:rsid w:val="30171C91"/>
    <w:rsid w:val="318DF312"/>
    <w:rsid w:val="322B6814"/>
    <w:rsid w:val="32BF688E"/>
    <w:rsid w:val="32DA025F"/>
    <w:rsid w:val="32FF471E"/>
    <w:rsid w:val="3388580B"/>
    <w:rsid w:val="33E97198"/>
    <w:rsid w:val="34F9139E"/>
    <w:rsid w:val="35BE20B1"/>
    <w:rsid w:val="3677A056"/>
    <w:rsid w:val="3677D8E8"/>
    <w:rsid w:val="374F03D9"/>
    <w:rsid w:val="37BF55F7"/>
    <w:rsid w:val="37BF8F2B"/>
    <w:rsid w:val="37F5E2DE"/>
    <w:rsid w:val="37FBA290"/>
    <w:rsid w:val="37FF80BC"/>
    <w:rsid w:val="38C324C6"/>
    <w:rsid w:val="39654098"/>
    <w:rsid w:val="39FE12CC"/>
    <w:rsid w:val="39FFEF30"/>
    <w:rsid w:val="3A79EDE4"/>
    <w:rsid w:val="3A7E6AB0"/>
    <w:rsid w:val="3B278BEA"/>
    <w:rsid w:val="3B6E0B6C"/>
    <w:rsid w:val="3B7EDFF8"/>
    <w:rsid w:val="3BB9BA56"/>
    <w:rsid w:val="3BC9590F"/>
    <w:rsid w:val="3BE75CEE"/>
    <w:rsid w:val="3BFB07FC"/>
    <w:rsid w:val="3BFF4B74"/>
    <w:rsid w:val="3C5B92C6"/>
    <w:rsid w:val="3CEB84D3"/>
    <w:rsid w:val="3DABCDBF"/>
    <w:rsid w:val="3DBFC928"/>
    <w:rsid w:val="3DD2B156"/>
    <w:rsid w:val="3DEBE2CD"/>
    <w:rsid w:val="3DEF9143"/>
    <w:rsid w:val="3DF74F2B"/>
    <w:rsid w:val="3DFB0F2C"/>
    <w:rsid w:val="3DFF9EB2"/>
    <w:rsid w:val="3E5D1DA7"/>
    <w:rsid w:val="3E7F334E"/>
    <w:rsid w:val="3EB32167"/>
    <w:rsid w:val="3EF36492"/>
    <w:rsid w:val="3EFD16CA"/>
    <w:rsid w:val="3EFDC1B1"/>
    <w:rsid w:val="3F3E2F41"/>
    <w:rsid w:val="3F6124D7"/>
    <w:rsid w:val="3F7CD780"/>
    <w:rsid w:val="3F7F27B7"/>
    <w:rsid w:val="3F7F8043"/>
    <w:rsid w:val="3FAEFDE6"/>
    <w:rsid w:val="3FB399FF"/>
    <w:rsid w:val="3FB7622A"/>
    <w:rsid w:val="3FB95ED2"/>
    <w:rsid w:val="3FBF0D0F"/>
    <w:rsid w:val="3FBFD5B2"/>
    <w:rsid w:val="3FBFD7B3"/>
    <w:rsid w:val="3FCF8D66"/>
    <w:rsid w:val="3FDF167D"/>
    <w:rsid w:val="3FDFA027"/>
    <w:rsid w:val="3FE0E300"/>
    <w:rsid w:val="3FF04157"/>
    <w:rsid w:val="3FF0C950"/>
    <w:rsid w:val="3FF509A0"/>
    <w:rsid w:val="3FFD36FE"/>
    <w:rsid w:val="3FFDBF33"/>
    <w:rsid w:val="3FFE6E4A"/>
    <w:rsid w:val="3FFF7333"/>
    <w:rsid w:val="3FFFF71F"/>
    <w:rsid w:val="42BEB897"/>
    <w:rsid w:val="4378700C"/>
    <w:rsid w:val="44FF5476"/>
    <w:rsid w:val="450A857D"/>
    <w:rsid w:val="455F52CD"/>
    <w:rsid w:val="46F398FC"/>
    <w:rsid w:val="48FFFF4F"/>
    <w:rsid w:val="4AB7F840"/>
    <w:rsid w:val="4ADE177F"/>
    <w:rsid w:val="4AFFD7B7"/>
    <w:rsid w:val="4BBF0A0A"/>
    <w:rsid w:val="4BFB9ABE"/>
    <w:rsid w:val="4BFE0480"/>
    <w:rsid w:val="4C172EB9"/>
    <w:rsid w:val="4CCF33FD"/>
    <w:rsid w:val="4DBC0B67"/>
    <w:rsid w:val="4ECB064E"/>
    <w:rsid w:val="4EF4018C"/>
    <w:rsid w:val="4EFF9378"/>
    <w:rsid w:val="4F76E20E"/>
    <w:rsid w:val="4F8F64A0"/>
    <w:rsid w:val="4F9CA047"/>
    <w:rsid w:val="4FBBC4D6"/>
    <w:rsid w:val="4FD7BB62"/>
    <w:rsid w:val="4FDBB47D"/>
    <w:rsid w:val="4FEF4669"/>
    <w:rsid w:val="4FFD96AC"/>
    <w:rsid w:val="4FFF18C9"/>
    <w:rsid w:val="50FF883F"/>
    <w:rsid w:val="516C7137"/>
    <w:rsid w:val="51CB5E96"/>
    <w:rsid w:val="51DD43E2"/>
    <w:rsid w:val="52FBF5BA"/>
    <w:rsid w:val="537FE70E"/>
    <w:rsid w:val="53FFC71C"/>
    <w:rsid w:val="543A618C"/>
    <w:rsid w:val="55DB8444"/>
    <w:rsid w:val="55F9DF92"/>
    <w:rsid w:val="565F47AB"/>
    <w:rsid w:val="56BE6F81"/>
    <w:rsid w:val="56EEF555"/>
    <w:rsid w:val="56FE67C2"/>
    <w:rsid w:val="56FFA6AD"/>
    <w:rsid w:val="56FFBDFE"/>
    <w:rsid w:val="57AF3715"/>
    <w:rsid w:val="57AF477E"/>
    <w:rsid w:val="57CEEAC6"/>
    <w:rsid w:val="57D5A42A"/>
    <w:rsid w:val="57FAE2A8"/>
    <w:rsid w:val="58BF0757"/>
    <w:rsid w:val="58DA22CE"/>
    <w:rsid w:val="593E0A42"/>
    <w:rsid w:val="599EDBFD"/>
    <w:rsid w:val="59E9574E"/>
    <w:rsid w:val="5AB039A5"/>
    <w:rsid w:val="5AF71A88"/>
    <w:rsid w:val="5B2D079B"/>
    <w:rsid w:val="5B3F1A33"/>
    <w:rsid w:val="5B7FB88E"/>
    <w:rsid w:val="5BEFF922"/>
    <w:rsid w:val="5C3DADAF"/>
    <w:rsid w:val="5C5C214A"/>
    <w:rsid w:val="5D558398"/>
    <w:rsid w:val="5D685B10"/>
    <w:rsid w:val="5D7FE9BF"/>
    <w:rsid w:val="5DDF827F"/>
    <w:rsid w:val="5DEDDC2F"/>
    <w:rsid w:val="5DFD9182"/>
    <w:rsid w:val="5EFFFB02"/>
    <w:rsid w:val="5F07A1D4"/>
    <w:rsid w:val="5F56CB08"/>
    <w:rsid w:val="5F6EC9DD"/>
    <w:rsid w:val="5F7D51A2"/>
    <w:rsid w:val="5FAB5D43"/>
    <w:rsid w:val="5FAF4CB1"/>
    <w:rsid w:val="5FB58410"/>
    <w:rsid w:val="5FBB11A3"/>
    <w:rsid w:val="5FBBDFD4"/>
    <w:rsid w:val="5FBD23D5"/>
    <w:rsid w:val="5FBF08F9"/>
    <w:rsid w:val="5FBFA946"/>
    <w:rsid w:val="5FD50451"/>
    <w:rsid w:val="5FDF19B5"/>
    <w:rsid w:val="5FDF8357"/>
    <w:rsid w:val="5FE66835"/>
    <w:rsid w:val="5FE71B8A"/>
    <w:rsid w:val="5FEB8073"/>
    <w:rsid w:val="5FEFADD3"/>
    <w:rsid w:val="5FF1EE5C"/>
    <w:rsid w:val="5FFB58C5"/>
    <w:rsid w:val="5FFED941"/>
    <w:rsid w:val="5FFF843C"/>
    <w:rsid w:val="61B700CD"/>
    <w:rsid w:val="61BE6AAB"/>
    <w:rsid w:val="61DFB718"/>
    <w:rsid w:val="627AADE2"/>
    <w:rsid w:val="62A9B503"/>
    <w:rsid w:val="63FF1B09"/>
    <w:rsid w:val="64EF7A57"/>
    <w:rsid w:val="65AEC1BF"/>
    <w:rsid w:val="660D53CD"/>
    <w:rsid w:val="66979BB8"/>
    <w:rsid w:val="66F1EE17"/>
    <w:rsid w:val="66F904EE"/>
    <w:rsid w:val="67B6FF0D"/>
    <w:rsid w:val="67DEE188"/>
    <w:rsid w:val="67F33AF0"/>
    <w:rsid w:val="67F6F484"/>
    <w:rsid w:val="67FB9E53"/>
    <w:rsid w:val="68D7E00F"/>
    <w:rsid w:val="696DAE07"/>
    <w:rsid w:val="69B73A81"/>
    <w:rsid w:val="69BF0D14"/>
    <w:rsid w:val="6AEDFDCB"/>
    <w:rsid w:val="6AF75815"/>
    <w:rsid w:val="6AFBCDBF"/>
    <w:rsid w:val="6BBD708D"/>
    <w:rsid w:val="6BE34C93"/>
    <w:rsid w:val="6BFDE258"/>
    <w:rsid w:val="6BFEB8B4"/>
    <w:rsid w:val="6D5DB891"/>
    <w:rsid w:val="6D9C04B2"/>
    <w:rsid w:val="6DF79FA8"/>
    <w:rsid w:val="6E4E7935"/>
    <w:rsid w:val="6E7DCD91"/>
    <w:rsid w:val="6EB6C14F"/>
    <w:rsid w:val="6EF75739"/>
    <w:rsid w:val="6EFFB32A"/>
    <w:rsid w:val="6F1CA092"/>
    <w:rsid w:val="6F3923BA"/>
    <w:rsid w:val="6F57863B"/>
    <w:rsid w:val="6F6E5A40"/>
    <w:rsid w:val="6F778CB8"/>
    <w:rsid w:val="6F7E0186"/>
    <w:rsid w:val="6F7F78E7"/>
    <w:rsid w:val="6F8F8EA8"/>
    <w:rsid w:val="6FCF0520"/>
    <w:rsid w:val="6FDF1C3F"/>
    <w:rsid w:val="6FF55FA8"/>
    <w:rsid w:val="6FFABC8D"/>
    <w:rsid w:val="6FFEDBDD"/>
    <w:rsid w:val="6FFEEDF7"/>
    <w:rsid w:val="6FFFFD0B"/>
    <w:rsid w:val="719F6C6C"/>
    <w:rsid w:val="71F74851"/>
    <w:rsid w:val="733F8036"/>
    <w:rsid w:val="737D1544"/>
    <w:rsid w:val="737FAC41"/>
    <w:rsid w:val="737FD603"/>
    <w:rsid w:val="73DD6CEB"/>
    <w:rsid w:val="73EFB81F"/>
    <w:rsid w:val="73FA2496"/>
    <w:rsid w:val="73FD1422"/>
    <w:rsid w:val="73FD928C"/>
    <w:rsid w:val="73FFAAED"/>
    <w:rsid w:val="74965047"/>
    <w:rsid w:val="74BBA9DA"/>
    <w:rsid w:val="74E89F37"/>
    <w:rsid w:val="752E3F47"/>
    <w:rsid w:val="756FBF27"/>
    <w:rsid w:val="75B75438"/>
    <w:rsid w:val="75CF78E4"/>
    <w:rsid w:val="75D6A7AF"/>
    <w:rsid w:val="75FAEF0C"/>
    <w:rsid w:val="75FF328A"/>
    <w:rsid w:val="768E2E72"/>
    <w:rsid w:val="76BC23A0"/>
    <w:rsid w:val="76EF022D"/>
    <w:rsid w:val="76EF3E9A"/>
    <w:rsid w:val="76FEFCA1"/>
    <w:rsid w:val="76FF5B0D"/>
    <w:rsid w:val="776B1918"/>
    <w:rsid w:val="77776335"/>
    <w:rsid w:val="7777AC64"/>
    <w:rsid w:val="777FD04A"/>
    <w:rsid w:val="778AC550"/>
    <w:rsid w:val="77936A39"/>
    <w:rsid w:val="77BBEB18"/>
    <w:rsid w:val="77BF6396"/>
    <w:rsid w:val="77CD5037"/>
    <w:rsid w:val="77F933C1"/>
    <w:rsid w:val="77FB6016"/>
    <w:rsid w:val="77FBBF0A"/>
    <w:rsid w:val="77FBC97C"/>
    <w:rsid w:val="77FEF3A1"/>
    <w:rsid w:val="783603EB"/>
    <w:rsid w:val="786E4EF5"/>
    <w:rsid w:val="78BB401C"/>
    <w:rsid w:val="78FDF65C"/>
    <w:rsid w:val="79B62704"/>
    <w:rsid w:val="79BD7F7A"/>
    <w:rsid w:val="79FF3309"/>
    <w:rsid w:val="79FFF37B"/>
    <w:rsid w:val="7A05889F"/>
    <w:rsid w:val="7A144974"/>
    <w:rsid w:val="7A974DE0"/>
    <w:rsid w:val="7A9DA6FE"/>
    <w:rsid w:val="7AAFD889"/>
    <w:rsid w:val="7AD9CF36"/>
    <w:rsid w:val="7AF9AAC8"/>
    <w:rsid w:val="7AFE2589"/>
    <w:rsid w:val="7AFF0160"/>
    <w:rsid w:val="7B0F184B"/>
    <w:rsid w:val="7B17B3F4"/>
    <w:rsid w:val="7B1F7F00"/>
    <w:rsid w:val="7B536FF2"/>
    <w:rsid w:val="7B5D5908"/>
    <w:rsid w:val="7B67D142"/>
    <w:rsid w:val="7B6EA2FF"/>
    <w:rsid w:val="7B7BC0C2"/>
    <w:rsid w:val="7B7D99B4"/>
    <w:rsid w:val="7B7FC0AD"/>
    <w:rsid w:val="7B9F7369"/>
    <w:rsid w:val="7BAFDBC2"/>
    <w:rsid w:val="7BB8AFCB"/>
    <w:rsid w:val="7BB9E6D9"/>
    <w:rsid w:val="7BBFE8FB"/>
    <w:rsid w:val="7BDC8E24"/>
    <w:rsid w:val="7BEBFE4D"/>
    <w:rsid w:val="7BF7223E"/>
    <w:rsid w:val="7BF75F02"/>
    <w:rsid w:val="7BF9E3A7"/>
    <w:rsid w:val="7BFA1827"/>
    <w:rsid w:val="7BFA1EC4"/>
    <w:rsid w:val="7BFB4BD1"/>
    <w:rsid w:val="7BFDF5B8"/>
    <w:rsid w:val="7BFFE855"/>
    <w:rsid w:val="7C3F7D38"/>
    <w:rsid w:val="7C6F3B10"/>
    <w:rsid w:val="7C77EBA1"/>
    <w:rsid w:val="7CF12B8B"/>
    <w:rsid w:val="7CFDD4ED"/>
    <w:rsid w:val="7CFF28A5"/>
    <w:rsid w:val="7D2B9A40"/>
    <w:rsid w:val="7D33F015"/>
    <w:rsid w:val="7D377520"/>
    <w:rsid w:val="7D3B55E3"/>
    <w:rsid w:val="7D4F6987"/>
    <w:rsid w:val="7D5FA99A"/>
    <w:rsid w:val="7D6B3D15"/>
    <w:rsid w:val="7D6BBD33"/>
    <w:rsid w:val="7D6FCDAD"/>
    <w:rsid w:val="7D75C0FF"/>
    <w:rsid w:val="7D7717B3"/>
    <w:rsid w:val="7D772B2F"/>
    <w:rsid w:val="7D7DADE5"/>
    <w:rsid w:val="7D7F2086"/>
    <w:rsid w:val="7DCFB4AD"/>
    <w:rsid w:val="7DE9E552"/>
    <w:rsid w:val="7DED0883"/>
    <w:rsid w:val="7DEF06A4"/>
    <w:rsid w:val="7DEF34F7"/>
    <w:rsid w:val="7DF48C2C"/>
    <w:rsid w:val="7DFB8C51"/>
    <w:rsid w:val="7DFCB084"/>
    <w:rsid w:val="7DFF0A07"/>
    <w:rsid w:val="7DFF6F8C"/>
    <w:rsid w:val="7DFFBFC3"/>
    <w:rsid w:val="7E3F28D1"/>
    <w:rsid w:val="7E5C07B2"/>
    <w:rsid w:val="7E72AD07"/>
    <w:rsid w:val="7E7F0A8A"/>
    <w:rsid w:val="7E7F317B"/>
    <w:rsid w:val="7E9F26E1"/>
    <w:rsid w:val="7EA965C0"/>
    <w:rsid w:val="7EAFA39D"/>
    <w:rsid w:val="7EBF2CE5"/>
    <w:rsid w:val="7ECC7785"/>
    <w:rsid w:val="7ECF741D"/>
    <w:rsid w:val="7EDCD584"/>
    <w:rsid w:val="7EEAB56A"/>
    <w:rsid w:val="7EF5DDDB"/>
    <w:rsid w:val="7EF75441"/>
    <w:rsid w:val="7EFB5D6B"/>
    <w:rsid w:val="7EFDB7F8"/>
    <w:rsid w:val="7F29B401"/>
    <w:rsid w:val="7F37771C"/>
    <w:rsid w:val="7F3B0F46"/>
    <w:rsid w:val="7F4ECBFC"/>
    <w:rsid w:val="7F5BB246"/>
    <w:rsid w:val="7F66402E"/>
    <w:rsid w:val="7F673D30"/>
    <w:rsid w:val="7F6DE607"/>
    <w:rsid w:val="7F6F2371"/>
    <w:rsid w:val="7F6F6C4C"/>
    <w:rsid w:val="7F73F80E"/>
    <w:rsid w:val="7F7448B0"/>
    <w:rsid w:val="7F7D5D0D"/>
    <w:rsid w:val="7F7F20E7"/>
    <w:rsid w:val="7F8ED0A1"/>
    <w:rsid w:val="7FA1E8BF"/>
    <w:rsid w:val="7FA772B6"/>
    <w:rsid w:val="7FAE398F"/>
    <w:rsid w:val="7FAF0EB7"/>
    <w:rsid w:val="7FB57991"/>
    <w:rsid w:val="7FBD2940"/>
    <w:rsid w:val="7FBF4929"/>
    <w:rsid w:val="7FC374E6"/>
    <w:rsid w:val="7FC4015F"/>
    <w:rsid w:val="7FCE519D"/>
    <w:rsid w:val="7FCE8E1D"/>
    <w:rsid w:val="7FDB3899"/>
    <w:rsid w:val="7FDDF8B1"/>
    <w:rsid w:val="7FDE6218"/>
    <w:rsid w:val="7FDF8EAC"/>
    <w:rsid w:val="7FE244C9"/>
    <w:rsid w:val="7FE776D3"/>
    <w:rsid w:val="7FEB16F7"/>
    <w:rsid w:val="7FECB636"/>
    <w:rsid w:val="7FEF6234"/>
    <w:rsid w:val="7FF0301E"/>
    <w:rsid w:val="7FF665D2"/>
    <w:rsid w:val="7FF9D349"/>
    <w:rsid w:val="7FFA3A83"/>
    <w:rsid w:val="7FFADE43"/>
    <w:rsid w:val="7FFB187F"/>
    <w:rsid w:val="7FFC4569"/>
    <w:rsid w:val="7FFE9B40"/>
    <w:rsid w:val="7FFE9FDE"/>
    <w:rsid w:val="7FFEE76A"/>
    <w:rsid w:val="7FFF0C87"/>
    <w:rsid w:val="7FFF84B3"/>
    <w:rsid w:val="84FF64EA"/>
    <w:rsid w:val="8DFF849D"/>
    <w:rsid w:val="8F971505"/>
    <w:rsid w:val="8FBFF29C"/>
    <w:rsid w:val="93B70A6E"/>
    <w:rsid w:val="96EEDD93"/>
    <w:rsid w:val="976BD881"/>
    <w:rsid w:val="97EF2D3A"/>
    <w:rsid w:val="97FF4527"/>
    <w:rsid w:val="987FD6EA"/>
    <w:rsid w:val="99FFF4B3"/>
    <w:rsid w:val="9AF73E2F"/>
    <w:rsid w:val="9B7FE133"/>
    <w:rsid w:val="9BFEB88E"/>
    <w:rsid w:val="9C3F87DD"/>
    <w:rsid w:val="9CEF268C"/>
    <w:rsid w:val="9CFF026F"/>
    <w:rsid w:val="9D3FC9BC"/>
    <w:rsid w:val="9D7F7201"/>
    <w:rsid w:val="9DFB914B"/>
    <w:rsid w:val="9EF792E0"/>
    <w:rsid w:val="9F36A688"/>
    <w:rsid w:val="9F7F690F"/>
    <w:rsid w:val="9F9F9E44"/>
    <w:rsid w:val="9F9F9EF9"/>
    <w:rsid w:val="9FAFC6BC"/>
    <w:rsid w:val="9FC437FD"/>
    <w:rsid w:val="9FDF5FE1"/>
    <w:rsid w:val="9FFEC794"/>
    <w:rsid w:val="A3BFBD6B"/>
    <w:rsid w:val="A7AE7908"/>
    <w:rsid w:val="A7F40006"/>
    <w:rsid w:val="A7FBE0AE"/>
    <w:rsid w:val="A7FF4401"/>
    <w:rsid w:val="A7FFB751"/>
    <w:rsid w:val="A8D5B8CA"/>
    <w:rsid w:val="A9EB79FE"/>
    <w:rsid w:val="AAAFE78A"/>
    <w:rsid w:val="ABBF7874"/>
    <w:rsid w:val="AE782B45"/>
    <w:rsid w:val="AE9D8959"/>
    <w:rsid w:val="AEF60FB4"/>
    <w:rsid w:val="AEFDFB19"/>
    <w:rsid w:val="AF5331D2"/>
    <w:rsid w:val="AF7BB954"/>
    <w:rsid w:val="AFDE89B9"/>
    <w:rsid w:val="AFDEDC9E"/>
    <w:rsid w:val="AFECBE12"/>
    <w:rsid w:val="AFF5049C"/>
    <w:rsid w:val="B47FF7E9"/>
    <w:rsid w:val="B53EA9F9"/>
    <w:rsid w:val="B53F0AAD"/>
    <w:rsid w:val="B59D649A"/>
    <w:rsid w:val="B5FF2EA0"/>
    <w:rsid w:val="B66F11B7"/>
    <w:rsid w:val="B6BD8409"/>
    <w:rsid w:val="B6DFB47F"/>
    <w:rsid w:val="B76615EC"/>
    <w:rsid w:val="B77A43D8"/>
    <w:rsid w:val="B7FFC7BC"/>
    <w:rsid w:val="B8FFE820"/>
    <w:rsid w:val="B97F91F6"/>
    <w:rsid w:val="B9FD8936"/>
    <w:rsid w:val="B9FF9F9A"/>
    <w:rsid w:val="BA1187C0"/>
    <w:rsid w:val="BA4A4FE8"/>
    <w:rsid w:val="BA5E02FD"/>
    <w:rsid w:val="BAAB237C"/>
    <w:rsid w:val="BAD5D708"/>
    <w:rsid w:val="BAFF96BE"/>
    <w:rsid w:val="BB6F9FAB"/>
    <w:rsid w:val="BB7BA815"/>
    <w:rsid w:val="BB8D0E55"/>
    <w:rsid w:val="BBEB8A3D"/>
    <w:rsid w:val="BBFBEA86"/>
    <w:rsid w:val="BC672A23"/>
    <w:rsid w:val="BC772222"/>
    <w:rsid w:val="BCAEC6BB"/>
    <w:rsid w:val="BCBE94D3"/>
    <w:rsid w:val="BCFF466D"/>
    <w:rsid w:val="BD5F326E"/>
    <w:rsid w:val="BD62015A"/>
    <w:rsid w:val="BD6B7B60"/>
    <w:rsid w:val="BD79040F"/>
    <w:rsid w:val="BDAF8353"/>
    <w:rsid w:val="BDBB4C4C"/>
    <w:rsid w:val="BDEDA52C"/>
    <w:rsid w:val="BDEDE523"/>
    <w:rsid w:val="BDFE73AA"/>
    <w:rsid w:val="BDFF6DA0"/>
    <w:rsid w:val="BE5A079A"/>
    <w:rsid w:val="BE7F39FC"/>
    <w:rsid w:val="BEB9E13F"/>
    <w:rsid w:val="BEDD9A1C"/>
    <w:rsid w:val="BEF7A235"/>
    <w:rsid w:val="BEFF6E9D"/>
    <w:rsid w:val="BF3F081A"/>
    <w:rsid w:val="BF6FDA6D"/>
    <w:rsid w:val="BF7CDBF1"/>
    <w:rsid w:val="BF7FC48C"/>
    <w:rsid w:val="BFAF3F54"/>
    <w:rsid w:val="BFB65CE9"/>
    <w:rsid w:val="BFD68B48"/>
    <w:rsid w:val="BFD70A47"/>
    <w:rsid w:val="BFDE368B"/>
    <w:rsid w:val="BFEE2DB1"/>
    <w:rsid w:val="BFF50342"/>
    <w:rsid w:val="BFF87589"/>
    <w:rsid w:val="BFFC1B1C"/>
    <w:rsid w:val="BFFC20D5"/>
    <w:rsid w:val="BFFD48C4"/>
    <w:rsid w:val="BFFDFFF6"/>
    <w:rsid w:val="BFFEDBDF"/>
    <w:rsid w:val="BFFF60FF"/>
    <w:rsid w:val="BFFF6FC8"/>
    <w:rsid w:val="BFFFE4D8"/>
    <w:rsid w:val="C3F74476"/>
    <w:rsid w:val="C4F7A75B"/>
    <w:rsid w:val="C7F9D26F"/>
    <w:rsid w:val="CABEC354"/>
    <w:rsid w:val="CBE526EA"/>
    <w:rsid w:val="CBFA2018"/>
    <w:rsid w:val="CC375D4F"/>
    <w:rsid w:val="CC74F0D2"/>
    <w:rsid w:val="CCB14496"/>
    <w:rsid w:val="CD75105A"/>
    <w:rsid w:val="CDDA4D06"/>
    <w:rsid w:val="CEEF0FB7"/>
    <w:rsid w:val="CF5D54D5"/>
    <w:rsid w:val="CF7BB75B"/>
    <w:rsid w:val="CF9DEE75"/>
    <w:rsid w:val="CFB5723F"/>
    <w:rsid w:val="CFBF2791"/>
    <w:rsid w:val="CFDCF7CC"/>
    <w:rsid w:val="CFEFF740"/>
    <w:rsid w:val="CFF7404C"/>
    <w:rsid w:val="CFF7FFAC"/>
    <w:rsid w:val="CFFC7969"/>
    <w:rsid w:val="CFFFC0F4"/>
    <w:rsid w:val="D1CF19E4"/>
    <w:rsid w:val="D27F01D8"/>
    <w:rsid w:val="D33158E8"/>
    <w:rsid w:val="D3EF432C"/>
    <w:rsid w:val="D46FF8CD"/>
    <w:rsid w:val="D5579D3C"/>
    <w:rsid w:val="D57BE8F4"/>
    <w:rsid w:val="D5AEF387"/>
    <w:rsid w:val="D5CC3B36"/>
    <w:rsid w:val="D5FF9D55"/>
    <w:rsid w:val="D63FEA8E"/>
    <w:rsid w:val="D77F0E9C"/>
    <w:rsid w:val="D7BFBF19"/>
    <w:rsid w:val="D7BFC412"/>
    <w:rsid w:val="D7DF2F61"/>
    <w:rsid w:val="D7EF4432"/>
    <w:rsid w:val="D7F7D192"/>
    <w:rsid w:val="D7FB9B83"/>
    <w:rsid w:val="D7FE6C52"/>
    <w:rsid w:val="D7FF1A5A"/>
    <w:rsid w:val="D7FF5004"/>
    <w:rsid w:val="D7FF5B0C"/>
    <w:rsid w:val="D8FF10B2"/>
    <w:rsid w:val="D93FC857"/>
    <w:rsid w:val="D9EE76E8"/>
    <w:rsid w:val="DA7F468B"/>
    <w:rsid w:val="DADC0BD9"/>
    <w:rsid w:val="DADE78BE"/>
    <w:rsid w:val="DB6EAB74"/>
    <w:rsid w:val="DB7EDD8B"/>
    <w:rsid w:val="DB9FA0CC"/>
    <w:rsid w:val="DBFDF131"/>
    <w:rsid w:val="DCBF0155"/>
    <w:rsid w:val="DCFB951F"/>
    <w:rsid w:val="DD3E9A2A"/>
    <w:rsid w:val="DD7E9F7C"/>
    <w:rsid w:val="DDCFC6C2"/>
    <w:rsid w:val="DDDBE923"/>
    <w:rsid w:val="DDEB52F7"/>
    <w:rsid w:val="DDF7C5E7"/>
    <w:rsid w:val="DDFD18EE"/>
    <w:rsid w:val="DDFF05FA"/>
    <w:rsid w:val="DDFFCAEB"/>
    <w:rsid w:val="DEAF7239"/>
    <w:rsid w:val="DEBE7E91"/>
    <w:rsid w:val="DEBF6F3C"/>
    <w:rsid w:val="DED7EE58"/>
    <w:rsid w:val="DEEF4521"/>
    <w:rsid w:val="DEF84ED0"/>
    <w:rsid w:val="DEFB3429"/>
    <w:rsid w:val="DEFD17EF"/>
    <w:rsid w:val="DEFD7991"/>
    <w:rsid w:val="DEFFD980"/>
    <w:rsid w:val="DF1E413E"/>
    <w:rsid w:val="DF3E63D4"/>
    <w:rsid w:val="DF4D7D53"/>
    <w:rsid w:val="DF5D42C7"/>
    <w:rsid w:val="DF7D5315"/>
    <w:rsid w:val="DF9B5C7F"/>
    <w:rsid w:val="DFBF0739"/>
    <w:rsid w:val="DFBF364D"/>
    <w:rsid w:val="DFBF5EB3"/>
    <w:rsid w:val="DFBF98DA"/>
    <w:rsid w:val="DFCF5A46"/>
    <w:rsid w:val="DFD70EA4"/>
    <w:rsid w:val="DFDFC3A1"/>
    <w:rsid w:val="DFDFFB79"/>
    <w:rsid w:val="DFE6AD2E"/>
    <w:rsid w:val="DFEAF06B"/>
    <w:rsid w:val="DFEE03C5"/>
    <w:rsid w:val="DFEF2273"/>
    <w:rsid w:val="DFEF4A96"/>
    <w:rsid w:val="DFF3347B"/>
    <w:rsid w:val="DFF7BD74"/>
    <w:rsid w:val="DFFE301C"/>
    <w:rsid w:val="DFFF8593"/>
    <w:rsid w:val="DFFFC80C"/>
    <w:rsid w:val="DFFFE6E3"/>
    <w:rsid w:val="E1FD55E2"/>
    <w:rsid w:val="E2A36794"/>
    <w:rsid w:val="E2C59F9E"/>
    <w:rsid w:val="E3F31047"/>
    <w:rsid w:val="E3F744FE"/>
    <w:rsid w:val="E658B3CA"/>
    <w:rsid w:val="E6F5B4D5"/>
    <w:rsid w:val="E75FEA60"/>
    <w:rsid w:val="E79D98A5"/>
    <w:rsid w:val="E7DF18E4"/>
    <w:rsid w:val="E7ED82E5"/>
    <w:rsid w:val="E7FD5D79"/>
    <w:rsid w:val="E7FFAE78"/>
    <w:rsid w:val="E9FE4C9A"/>
    <w:rsid w:val="E9FE7AC0"/>
    <w:rsid w:val="EA9D1C09"/>
    <w:rsid w:val="EB7FEA9E"/>
    <w:rsid w:val="EBBF21C7"/>
    <w:rsid w:val="EBC5E1F6"/>
    <w:rsid w:val="EBDC8A85"/>
    <w:rsid w:val="EBDDB0E7"/>
    <w:rsid w:val="EBEA06D3"/>
    <w:rsid w:val="EBF3FA9A"/>
    <w:rsid w:val="EBFF6A2D"/>
    <w:rsid w:val="EBFFD11C"/>
    <w:rsid w:val="ED7F6F78"/>
    <w:rsid w:val="EDC62DDA"/>
    <w:rsid w:val="EDE96AD7"/>
    <w:rsid w:val="EDFE32B8"/>
    <w:rsid w:val="EDFF5841"/>
    <w:rsid w:val="EDFFA4B0"/>
    <w:rsid w:val="EE5BED11"/>
    <w:rsid w:val="EE5F1D71"/>
    <w:rsid w:val="EE7B6427"/>
    <w:rsid w:val="EE7D3973"/>
    <w:rsid w:val="EEED8431"/>
    <w:rsid w:val="EEF49DDD"/>
    <w:rsid w:val="EEFE75D3"/>
    <w:rsid w:val="EEFE909C"/>
    <w:rsid w:val="EEFFCE79"/>
    <w:rsid w:val="EF5D00CC"/>
    <w:rsid w:val="EF5FA35B"/>
    <w:rsid w:val="EF6F4E36"/>
    <w:rsid w:val="EF861CDA"/>
    <w:rsid w:val="EF99E1F5"/>
    <w:rsid w:val="EF9D961D"/>
    <w:rsid w:val="EFAF32A0"/>
    <w:rsid w:val="EFBC38B3"/>
    <w:rsid w:val="EFBD823A"/>
    <w:rsid w:val="EFBDEF33"/>
    <w:rsid w:val="EFBDF397"/>
    <w:rsid w:val="EFCFAB39"/>
    <w:rsid w:val="EFD10F72"/>
    <w:rsid w:val="EFDE5341"/>
    <w:rsid w:val="EFF6EFA6"/>
    <w:rsid w:val="EFFB5315"/>
    <w:rsid w:val="EFFC9344"/>
    <w:rsid w:val="EFFD0C40"/>
    <w:rsid w:val="EFFD177F"/>
    <w:rsid w:val="F16F55C1"/>
    <w:rsid w:val="F17FFFE7"/>
    <w:rsid w:val="F1BF1186"/>
    <w:rsid w:val="F1EB9298"/>
    <w:rsid w:val="F2BE6E3E"/>
    <w:rsid w:val="F2DDDEBB"/>
    <w:rsid w:val="F2FFFFDF"/>
    <w:rsid w:val="F37D8C0D"/>
    <w:rsid w:val="F3E5AF71"/>
    <w:rsid w:val="F3ED461F"/>
    <w:rsid w:val="F3EDCC91"/>
    <w:rsid w:val="F3FD9203"/>
    <w:rsid w:val="F3FE75E7"/>
    <w:rsid w:val="F3FF78C4"/>
    <w:rsid w:val="F46C047D"/>
    <w:rsid w:val="F57FF22D"/>
    <w:rsid w:val="F5A771FB"/>
    <w:rsid w:val="F5B7DB6B"/>
    <w:rsid w:val="F5BBDBC4"/>
    <w:rsid w:val="F5BFE295"/>
    <w:rsid w:val="F5F13194"/>
    <w:rsid w:val="F5F85E89"/>
    <w:rsid w:val="F5FBFE02"/>
    <w:rsid w:val="F5FFAA69"/>
    <w:rsid w:val="F5FFECE8"/>
    <w:rsid w:val="F61A5832"/>
    <w:rsid w:val="F655C4B3"/>
    <w:rsid w:val="F65774C0"/>
    <w:rsid w:val="F65F0272"/>
    <w:rsid w:val="F67FD15F"/>
    <w:rsid w:val="F67FDBAB"/>
    <w:rsid w:val="F68984F9"/>
    <w:rsid w:val="F6C65796"/>
    <w:rsid w:val="F6D2B08E"/>
    <w:rsid w:val="F6D43C27"/>
    <w:rsid w:val="F6DF320A"/>
    <w:rsid w:val="F6F89F04"/>
    <w:rsid w:val="F6FFDBB0"/>
    <w:rsid w:val="F74BD3D4"/>
    <w:rsid w:val="F74F50A7"/>
    <w:rsid w:val="F74FFECA"/>
    <w:rsid w:val="F75797D9"/>
    <w:rsid w:val="F77CF352"/>
    <w:rsid w:val="F77FF7BF"/>
    <w:rsid w:val="F79E0EEC"/>
    <w:rsid w:val="F7A975E5"/>
    <w:rsid w:val="F7B13BA9"/>
    <w:rsid w:val="F7B877DE"/>
    <w:rsid w:val="F7BDB161"/>
    <w:rsid w:val="F7CA0A14"/>
    <w:rsid w:val="F7CD9297"/>
    <w:rsid w:val="F7DC0ED1"/>
    <w:rsid w:val="F7E7F13F"/>
    <w:rsid w:val="F7F325BA"/>
    <w:rsid w:val="F7F34A0C"/>
    <w:rsid w:val="F7FBC395"/>
    <w:rsid w:val="F7FD90FA"/>
    <w:rsid w:val="F7FEC234"/>
    <w:rsid w:val="F7FF02EE"/>
    <w:rsid w:val="F7FF720E"/>
    <w:rsid w:val="F7FF8122"/>
    <w:rsid w:val="F8AB432B"/>
    <w:rsid w:val="F8F3DB3A"/>
    <w:rsid w:val="F93F61D5"/>
    <w:rsid w:val="F977DEA8"/>
    <w:rsid w:val="F9DF0286"/>
    <w:rsid w:val="F9FF533E"/>
    <w:rsid w:val="F9FF5BA4"/>
    <w:rsid w:val="F9FF7AA1"/>
    <w:rsid w:val="FA5E0A3E"/>
    <w:rsid w:val="FA73ED3D"/>
    <w:rsid w:val="FA9AF726"/>
    <w:rsid w:val="FAA7AF00"/>
    <w:rsid w:val="FAA90A49"/>
    <w:rsid w:val="FAEFD66E"/>
    <w:rsid w:val="FAF72CB4"/>
    <w:rsid w:val="FAF796F6"/>
    <w:rsid w:val="FAF7E394"/>
    <w:rsid w:val="FAFBBBA5"/>
    <w:rsid w:val="FAFCED12"/>
    <w:rsid w:val="FAFE16C2"/>
    <w:rsid w:val="FAFE9B56"/>
    <w:rsid w:val="FB17F442"/>
    <w:rsid w:val="FB3F5937"/>
    <w:rsid w:val="FB3F5DC3"/>
    <w:rsid w:val="FB4F0973"/>
    <w:rsid w:val="FB550D1A"/>
    <w:rsid w:val="FB5FCC88"/>
    <w:rsid w:val="FB75ABB9"/>
    <w:rsid w:val="FB77269F"/>
    <w:rsid w:val="FB783F73"/>
    <w:rsid w:val="FB7DB481"/>
    <w:rsid w:val="FB7E9F2D"/>
    <w:rsid w:val="FB8F1F4E"/>
    <w:rsid w:val="FBBE0CA3"/>
    <w:rsid w:val="FBD89B66"/>
    <w:rsid w:val="FBDB5301"/>
    <w:rsid w:val="FBEFC628"/>
    <w:rsid w:val="FBEFD387"/>
    <w:rsid w:val="FBFB3E65"/>
    <w:rsid w:val="FBFBCE9D"/>
    <w:rsid w:val="FBFF1E2F"/>
    <w:rsid w:val="FBFF40AE"/>
    <w:rsid w:val="FBFFD94E"/>
    <w:rsid w:val="FCCB7FFB"/>
    <w:rsid w:val="FCD5DB1F"/>
    <w:rsid w:val="FCF53CA5"/>
    <w:rsid w:val="FD3EFF97"/>
    <w:rsid w:val="FD3FDF12"/>
    <w:rsid w:val="FD6F364C"/>
    <w:rsid w:val="FD70CC4F"/>
    <w:rsid w:val="FD74550E"/>
    <w:rsid w:val="FD991E58"/>
    <w:rsid w:val="FD9F9A20"/>
    <w:rsid w:val="FDB7726E"/>
    <w:rsid w:val="FDBBC1AC"/>
    <w:rsid w:val="FDEE7D9B"/>
    <w:rsid w:val="FDEF7C94"/>
    <w:rsid w:val="FDEFF329"/>
    <w:rsid w:val="FDF752D3"/>
    <w:rsid w:val="FDF7E69D"/>
    <w:rsid w:val="FDF91D21"/>
    <w:rsid w:val="FDFD6FB0"/>
    <w:rsid w:val="FDFFDEDB"/>
    <w:rsid w:val="FE813010"/>
    <w:rsid w:val="FE937DA4"/>
    <w:rsid w:val="FE9F205E"/>
    <w:rsid w:val="FEAFFE70"/>
    <w:rsid w:val="FEB6601B"/>
    <w:rsid w:val="FEBBEA96"/>
    <w:rsid w:val="FEBFAF19"/>
    <w:rsid w:val="FECE2BB5"/>
    <w:rsid w:val="FECF5CBE"/>
    <w:rsid w:val="FED74401"/>
    <w:rsid w:val="FED76C76"/>
    <w:rsid w:val="FED9F2C5"/>
    <w:rsid w:val="FEDD2CB7"/>
    <w:rsid w:val="FEDD4FB8"/>
    <w:rsid w:val="FEDF3567"/>
    <w:rsid w:val="FEDF8F86"/>
    <w:rsid w:val="FEEA7ECA"/>
    <w:rsid w:val="FEEBDAC3"/>
    <w:rsid w:val="FEEE41ED"/>
    <w:rsid w:val="FEFB97F2"/>
    <w:rsid w:val="FEFD70E7"/>
    <w:rsid w:val="FEFF4FDC"/>
    <w:rsid w:val="FEFFA47E"/>
    <w:rsid w:val="FF3B7731"/>
    <w:rsid w:val="FF3D475D"/>
    <w:rsid w:val="FF3F239E"/>
    <w:rsid w:val="FF47F47A"/>
    <w:rsid w:val="FF4EED63"/>
    <w:rsid w:val="FF4F718F"/>
    <w:rsid w:val="FF577E45"/>
    <w:rsid w:val="FF5DBE0C"/>
    <w:rsid w:val="FF6C0786"/>
    <w:rsid w:val="FF750350"/>
    <w:rsid w:val="FF7B1066"/>
    <w:rsid w:val="FF7BC23A"/>
    <w:rsid w:val="FF7D9331"/>
    <w:rsid w:val="FF7DD05C"/>
    <w:rsid w:val="FF7E4D46"/>
    <w:rsid w:val="FF7E7DA2"/>
    <w:rsid w:val="FF8DCCF2"/>
    <w:rsid w:val="FF95D3DC"/>
    <w:rsid w:val="FFA7C5CC"/>
    <w:rsid w:val="FFA7CFBB"/>
    <w:rsid w:val="FFA978CC"/>
    <w:rsid w:val="FFAA8E48"/>
    <w:rsid w:val="FFADFDBD"/>
    <w:rsid w:val="FFAFEA53"/>
    <w:rsid w:val="FFB8AFC5"/>
    <w:rsid w:val="FFB9E1F6"/>
    <w:rsid w:val="FFBABAB1"/>
    <w:rsid w:val="FFBDD2E0"/>
    <w:rsid w:val="FFBEE166"/>
    <w:rsid w:val="FFBF3F9F"/>
    <w:rsid w:val="FFBFD6FF"/>
    <w:rsid w:val="FFCB36E2"/>
    <w:rsid w:val="FFCFA1CC"/>
    <w:rsid w:val="FFD687D7"/>
    <w:rsid w:val="FFD6998C"/>
    <w:rsid w:val="FFD72027"/>
    <w:rsid w:val="FFD72EAA"/>
    <w:rsid w:val="FFDAC5BB"/>
    <w:rsid w:val="FFDE829B"/>
    <w:rsid w:val="FFDF28EC"/>
    <w:rsid w:val="FFDF9686"/>
    <w:rsid w:val="FFDF9C72"/>
    <w:rsid w:val="FFE9866B"/>
    <w:rsid w:val="FFEBD84E"/>
    <w:rsid w:val="FFEF9D64"/>
    <w:rsid w:val="FFEFDC24"/>
    <w:rsid w:val="FFF398FD"/>
    <w:rsid w:val="FFF7688E"/>
    <w:rsid w:val="FFF7A3F0"/>
    <w:rsid w:val="FFF7ECF1"/>
    <w:rsid w:val="FFFAF2A3"/>
    <w:rsid w:val="FFFB74A2"/>
    <w:rsid w:val="FFFCEB1B"/>
    <w:rsid w:val="FFFD88FB"/>
    <w:rsid w:val="FFFDDCBD"/>
    <w:rsid w:val="FFFE4B23"/>
    <w:rsid w:val="FFFE862A"/>
    <w:rsid w:val="FFFF3C31"/>
    <w:rsid w:val="FFFF4A32"/>
    <w:rsid w:val="FFFF6266"/>
    <w:rsid w:val="FFFF6842"/>
    <w:rsid w:val="FFFF7424"/>
    <w:rsid w:val="FFFFBA67"/>
    <w:rsid w:val="FFFFD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0" w:lineRule="exact"/>
      <w:ind w:firstLine="632"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link w:val="13"/>
    <w:qFormat/>
    <w:uiPriority w:val="0"/>
    <w:pPr>
      <w:keepNext/>
      <w:keepLines/>
      <w:spacing w:beforeLines="0" w:beforeAutospacing="0" w:afterLines="0" w:afterAutospacing="0" w:line="660" w:lineRule="exact"/>
      <w:ind w:firstLine="0" w:firstLineChars="0"/>
      <w:jc w:val="center"/>
      <w:outlineLvl w:val="0"/>
    </w:pPr>
    <w:rPr>
      <w:rFonts w:eastAsia="方正小标宋简体"/>
      <w:kern w:val="44"/>
      <w:sz w:val="44"/>
    </w:rPr>
  </w:style>
  <w:style w:type="paragraph" w:styleId="3">
    <w:name w:val="heading 2"/>
    <w:basedOn w:val="1"/>
    <w:next w:val="1"/>
    <w:link w:val="14"/>
    <w:unhideWhenUsed/>
    <w:qFormat/>
    <w:uiPriority w:val="0"/>
    <w:pPr>
      <w:keepNext/>
      <w:keepLines/>
      <w:spacing w:beforeLines="0" w:beforeAutospacing="0" w:afterLines="0" w:afterAutospacing="0" w:line="570" w:lineRule="exact"/>
      <w:outlineLvl w:val="1"/>
    </w:pPr>
    <w:rPr>
      <w:rFonts w:ascii="Arial" w:hAnsi="Arial" w:eastAsia="黑体"/>
    </w:rPr>
  </w:style>
  <w:style w:type="paragraph" w:styleId="4">
    <w:name w:val="heading 3"/>
    <w:basedOn w:val="1"/>
    <w:next w:val="1"/>
    <w:link w:val="12"/>
    <w:unhideWhenUsed/>
    <w:qFormat/>
    <w:uiPriority w:val="0"/>
    <w:pPr>
      <w:keepNext/>
      <w:keepLines/>
      <w:spacing w:beforeLines="0" w:beforeAutospacing="0" w:afterLines="0" w:afterAutospacing="0" w:line="570" w:lineRule="exact"/>
      <w:outlineLvl w:val="2"/>
    </w:pPr>
    <w:rPr>
      <w:rFonts w:eastAsia="楷体"/>
      <w:b/>
    </w:rPr>
  </w:style>
  <w:style w:type="paragraph" w:styleId="5">
    <w:name w:val="heading 4"/>
    <w:basedOn w:val="1"/>
    <w:next w:val="1"/>
    <w:link w:val="15"/>
    <w:unhideWhenUsed/>
    <w:qFormat/>
    <w:uiPriority w:val="0"/>
    <w:pPr>
      <w:keepNext/>
      <w:keepLines/>
      <w:spacing w:beforeLines="0" w:beforeAutospacing="0" w:afterLines="0" w:afterAutospacing="0" w:line="570" w:lineRule="exact"/>
      <w:outlineLvl w:val="3"/>
    </w:pPr>
    <w:rPr>
      <w:rFonts w:ascii="Arial" w:hAnsi="Arial"/>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3 Char"/>
    <w:link w:val="4"/>
    <w:qFormat/>
    <w:uiPriority w:val="0"/>
    <w:rPr>
      <w:rFonts w:eastAsia="楷体"/>
      <w:b/>
      <w:sz w:val="32"/>
    </w:rPr>
  </w:style>
  <w:style w:type="character" w:customStyle="1" w:styleId="13">
    <w:name w:val="标题 1 Char"/>
    <w:link w:val="2"/>
    <w:qFormat/>
    <w:uiPriority w:val="0"/>
    <w:rPr>
      <w:rFonts w:eastAsia="方正小标宋简体"/>
      <w:kern w:val="44"/>
      <w:sz w:val="44"/>
    </w:rPr>
  </w:style>
  <w:style w:type="character" w:customStyle="1" w:styleId="14">
    <w:name w:val="标题 2 Char"/>
    <w:link w:val="3"/>
    <w:qFormat/>
    <w:uiPriority w:val="0"/>
    <w:rPr>
      <w:rFonts w:ascii="Arial" w:hAnsi="Arial" w:eastAsia="黑体"/>
      <w:sz w:val="32"/>
    </w:rPr>
  </w:style>
  <w:style w:type="character" w:customStyle="1" w:styleId="15">
    <w:name w:val="标题 4 Char"/>
    <w:link w:val="5"/>
    <w:qFormat/>
    <w:uiPriority w:val="0"/>
    <w:rPr>
      <w:rFonts w:ascii="Arial" w:hAnsi="Arial" w:eastAsia="仿宋"/>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2024-07-22T02:26:00Z</dcterms:created>
  <dc:creator>yp</dc:creator>
  <cp:lastModifiedBy>wdq</cp:lastModifiedBy>
  <dcterms:modified xsi:type="dcterms:W3CDTF">2024-08-06T14:24:22Z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8D071CAF75D9BBADEE8894667B351791_41</vt:lpwstr>
  </property>
</Properties>
</file>