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ind w:leftChars="0"/>
        <w:jc w:val="left"/>
        <w:textAlignment w:val="auto"/>
        <w:outlineLvl w:val="9"/>
        <w:rPr>
          <w:rFonts w:hint="eastAsia" w:ascii="Times New Roman" w:hAnsi="Times New Roman" w:eastAsia="黑体" w:cs="Times New Roman"/>
          <w:b w:val="0"/>
          <w:bCs w:val="0"/>
          <w:snapToGrid w:val="0"/>
          <w:color w:val="000000"/>
          <w:kern w:val="0"/>
          <w:sz w:val="28"/>
          <w:szCs w:val="28"/>
          <w:lang w:val="en-US" w:eastAsia="zh-CN" w:bidi="ar-SA"/>
        </w:rPr>
      </w:pPr>
      <w:r>
        <w:rPr>
          <w:rFonts w:hint="eastAsia" w:ascii="Times New Roman" w:hAnsi="Times New Roman" w:eastAsia="黑体" w:cs="Times New Roman"/>
          <w:b w:val="0"/>
          <w:bCs w:val="0"/>
          <w:snapToGrid w:val="0"/>
          <w:color w:val="000000"/>
          <w:kern w:val="0"/>
          <w:sz w:val="28"/>
          <w:szCs w:val="28"/>
          <w:lang w:val="en-US" w:eastAsia="zh-CN" w:bidi="ar-SA"/>
        </w:rPr>
        <w:t>附件1</w:t>
      </w:r>
    </w:p>
    <w:p>
      <w:pPr>
        <w:pStyle w:val="2"/>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方正小标宋简体" w:cs="Times New Roman"/>
          <w:b w:val="0"/>
          <w:bCs w:val="0"/>
          <w:snapToGrid w:val="0"/>
          <w:color w:val="000000"/>
          <w:kern w:val="0"/>
          <w:sz w:val="44"/>
          <w:szCs w:val="44"/>
          <w:lang w:val="en-US" w:eastAsia="zh-CN" w:bidi="ar-SA"/>
        </w:rPr>
      </w:pPr>
      <w:r>
        <w:rPr>
          <w:rFonts w:hint="eastAsia" w:ascii="Times New Roman" w:hAnsi="Times New Roman" w:eastAsia="方正小标宋简体" w:cs="Times New Roman"/>
          <w:b w:val="0"/>
          <w:bCs w:val="0"/>
          <w:snapToGrid w:val="0"/>
          <w:color w:val="000000"/>
          <w:kern w:val="0"/>
          <w:sz w:val="44"/>
          <w:szCs w:val="44"/>
          <w:lang w:val="en-US" w:eastAsia="zh-CN" w:bidi="ar-SA"/>
        </w:rPr>
        <w:t>保留的行政规范性文件</w:t>
      </w:r>
      <w:r>
        <w:rPr>
          <w:rFonts w:hint="eastAsia" w:eastAsia="方正小标宋简体" w:cs="Times New Roman"/>
          <w:b w:val="0"/>
          <w:bCs w:val="0"/>
          <w:snapToGrid w:val="0"/>
          <w:color w:val="000000"/>
          <w:kern w:val="0"/>
          <w:sz w:val="44"/>
          <w:szCs w:val="44"/>
          <w:lang w:val="en-US" w:eastAsia="zh-CN" w:bidi="ar-SA"/>
        </w:rPr>
        <w:t>目录</w:t>
      </w:r>
    </w:p>
    <w:tbl>
      <w:tblPr>
        <w:tblStyle w:val="4"/>
        <w:tblpPr w:leftFromText="180" w:rightFromText="180" w:vertAnchor="text" w:horzAnchor="page" w:tblpXSpec="center" w:tblpY="470"/>
        <w:tblOverlap w:val="never"/>
        <w:tblW w:w="9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3"/>
        <w:gridCol w:w="6540"/>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atLeast"/>
          <w:tblHeader/>
          <w:jc w:val="center"/>
        </w:trPr>
        <w:tc>
          <w:tcPr>
            <w:tcW w:w="8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序号</w:t>
            </w:r>
          </w:p>
        </w:tc>
        <w:tc>
          <w:tcPr>
            <w:tcW w:w="6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文件名称</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2"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关于印发《黑龙江省市场监督管理局信访工作办法（试行）》的通知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黑龙江省市场监督管理局关于印发《黑龙江省市场监督管理行政处罚裁量权适用规则(试行)》的通知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9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黑龙江省市场监督管理局关于印发《黑龙江省市场监督管理行政处罚裁量权基准清单（试行）》的通知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黑龙江省市场监督管理局  财政厅  药品监督管理局  知识产权局关于印发《黑龙江省市场监管领域重大违法行为举报奖励实施细则（试行）》的通知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黑市监规〔2023〕3号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黑龙江省工商行政管理局等十七部门关于加快推进“多证合一”改革有关事项的通知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6</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黑龙江省市场监督管理局 中国银保监会黑龙江监管局关于阳光财产保险股份有限公司专属独立保险代理人开设门店登记管理有关事宜的通知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黑市监规〔2019〕11号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7</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黑龙江省市场监督管理局等十二部门关于印发扶持个体工商户持续发展若干措施的通知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3"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lang w:val="en-US" w:eastAsia="zh-CN"/>
              </w:rPr>
            </w:pPr>
            <w:r>
              <w:rPr>
                <w:rFonts w:hint="eastAsia" w:ascii="宋体" w:hAnsi="宋体" w:eastAsia="宋体" w:cs="宋体"/>
                <w:i w:val="0"/>
                <w:iCs w:val="0"/>
                <w:color w:val="000000"/>
                <w:kern w:val="0"/>
                <w:sz w:val="30"/>
                <w:szCs w:val="30"/>
                <w:u w:val="none"/>
                <w:lang w:val="en-US" w:eastAsia="zh-CN" w:bidi="ar"/>
              </w:rPr>
              <w:t>8</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黑龙江省市场监督管理局等六部门关于印发《黑龙江省市场主体歇业备案管理实施办法（试行）》的通知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9</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关于贯彻落实《市场监督管理严重违法失信名单管理办法》等3个文件的通知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lang w:val="en-US"/>
              </w:rPr>
            </w:pPr>
            <w:r>
              <w:rPr>
                <w:rFonts w:hint="eastAsia" w:ascii="宋体" w:hAnsi="宋体" w:eastAsia="宋体" w:cs="宋体"/>
                <w:i w:val="0"/>
                <w:iCs w:val="0"/>
                <w:color w:val="000000"/>
                <w:kern w:val="0"/>
                <w:sz w:val="30"/>
                <w:szCs w:val="30"/>
                <w:u w:val="none"/>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黑龙江省市场监督管理局关于印发企业信用风险分类管理工作方案的通知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lang w:val="en-US"/>
              </w:rPr>
            </w:pPr>
            <w:r>
              <w:rPr>
                <w:rFonts w:hint="eastAsia" w:ascii="宋体" w:hAnsi="宋体" w:eastAsia="宋体" w:cs="宋体"/>
                <w:i w:val="0"/>
                <w:iCs w:val="0"/>
                <w:color w:val="000000"/>
                <w:kern w:val="0"/>
                <w:sz w:val="30"/>
                <w:szCs w:val="30"/>
                <w:u w:val="none"/>
                <w:lang w:val="en-US" w:eastAsia="zh-CN" w:bidi="ar"/>
              </w:rPr>
              <w:t>11</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黑龙江省市场监督管理局竞争违法问题举报和处理回应办法（试行）</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7"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lang w:val="en-US"/>
              </w:rPr>
            </w:pPr>
            <w:r>
              <w:rPr>
                <w:rFonts w:hint="eastAsia" w:ascii="宋体" w:hAnsi="宋体" w:eastAsia="宋体" w:cs="宋体"/>
                <w:i w:val="0"/>
                <w:iCs w:val="0"/>
                <w:color w:val="000000"/>
                <w:kern w:val="0"/>
                <w:sz w:val="30"/>
                <w:szCs w:val="30"/>
                <w:u w:val="none"/>
                <w:lang w:val="en-US" w:eastAsia="zh-CN" w:bidi="ar"/>
              </w:rPr>
              <w:t>12</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关于印发《黑龙江省线下实体店无理由退货指引（试行）》的通知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6"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lang w:val="en-US"/>
              </w:rPr>
            </w:pPr>
            <w:r>
              <w:rPr>
                <w:rFonts w:hint="eastAsia" w:ascii="宋体" w:hAnsi="宋体" w:eastAsia="宋体" w:cs="宋体"/>
                <w:i w:val="0"/>
                <w:iCs w:val="0"/>
                <w:color w:val="000000"/>
                <w:kern w:val="0"/>
                <w:sz w:val="30"/>
                <w:szCs w:val="30"/>
                <w:u w:val="none"/>
                <w:lang w:val="en-US" w:eastAsia="zh-CN" w:bidi="ar"/>
              </w:rPr>
              <w:t>13</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关于印发《黑龙江省公益广告促进和管理暂行办法》的通知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lang w:val="en-US"/>
              </w:rPr>
            </w:pPr>
            <w:r>
              <w:rPr>
                <w:rFonts w:hint="eastAsia" w:ascii="宋体" w:hAnsi="宋体" w:eastAsia="宋体" w:cs="宋体"/>
                <w:i w:val="0"/>
                <w:iCs w:val="0"/>
                <w:color w:val="000000"/>
                <w:kern w:val="0"/>
                <w:sz w:val="30"/>
                <w:szCs w:val="30"/>
                <w:u w:val="none"/>
                <w:lang w:val="en-US" w:eastAsia="zh-CN" w:bidi="ar"/>
              </w:rPr>
              <w:t>14</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黑龙江省市场监督管理局关于印发《黑龙江省缺陷消费品召回管理暂行办法》的通知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lang w:val="en-US"/>
              </w:rPr>
            </w:pPr>
            <w:r>
              <w:rPr>
                <w:rFonts w:hint="eastAsia" w:ascii="宋体" w:hAnsi="宋体" w:eastAsia="宋体" w:cs="宋体"/>
                <w:i w:val="0"/>
                <w:iCs w:val="0"/>
                <w:color w:val="000000"/>
                <w:kern w:val="0"/>
                <w:sz w:val="30"/>
                <w:szCs w:val="30"/>
                <w:u w:val="none"/>
                <w:lang w:val="en-US" w:eastAsia="zh-CN" w:bidi="ar"/>
              </w:rPr>
              <w:t>15</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黑龙江省食品药品监督管理局关于下放食品生产许可审批权限的通知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黑食药监食生联〔2014〕143号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16</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关于对使用转基因原料食品生产企业进一步加强监管的通知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黑食药监食生函〔2015〕71号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17</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关于转发《食品药品监管总局关于严厉查处保健酒、配制酒违法添加行为加强酒类产品质量安全监管的通知》的通知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黑食药监食生〔2015〕176号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18</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关于转发《食品药品监管总局关于白酒生产企业建立质量安全追溯体系的指导意见》的通知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黑食药监食生〔2015〕239号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19</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关于进一步加强白酒质量监管工作的通知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黑食药监食生〔2016〕376号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20</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关于落实《食品药品监管总局关于进一步监督大型食品生产企业落实食品安全主体责任的指导意见》的实施意见</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黑食药监规〔2017〕16号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21</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关于印发黑龙江省食品生产企业建立食品安全追溯体系实施意见的通知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黑食药监规〔2017〕40号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22</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关于加强白酒小作坊和散装白酒生产经营规范管理的通知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黑食药监规〔2017〕42号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23</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关于印发黑龙江省食品生产经营风险分级管理工作规范（试行）的通知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黑食药监食生〔2017〕110号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24</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关于印发黑龙江省食品生产者食品安全自查及报告管理办法（试行）的通知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黑食药监规〔2018〕14号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25</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关于印发黑龙江省运动营养食品生产许可审查方案（试行）的通知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黑食药监规〔2018〕18号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26</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黑龙江省市场监督管理局关于印发《食品添加剂二氧化碳（分装）生产许可证审查方案(试行)》的通知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黑市监规〔2019〕17号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27</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关于印发《其他食品（N-乙酰神经氨酸）生产许可审查方案(试行)》的通知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28</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关于印发《其他食品（食品工业用植物源性蛋白粉）生产许可审查方案(试行)》和《其他食品（食品工业用植物源性肽粉）生产许可审查方案(试行)》的通知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29</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关于印发《其他食品(食品工业用植物源性肽粉）生产许可审查方案(试行)》的通知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30</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黑龙江省市场监督管理局关于印发《其他食品（乳酸菌粉）生产许可审查方案（试行）》的通知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31</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关于进一步监督乳制品生产企业落实食品安全主体责任的通知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黑食药监规〔2017〕18号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9"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32</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关于印发乳制品生产企业食品安全追溯信息记录规范（试行）的通知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黑食药监规〔2017〕26号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3"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33</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关于转发《食品药品监管总局办公厅关于加强食品销售者现场制售食品监管工作的通知》的通知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黑食药监办食通〔2016〕90号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34</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关于印发黑龙江食品药品监督管理局关于规范销售散装食品标注信息的指导意见的通知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黑食药监规〔2017〕28号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35</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关于对从事冷藏冷冻食品贮存业务的非食品生产经营者进行备案的通告</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黑市监规〔2020〕8号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36</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关于印发《黑龙江省食品经营许可（销售类）审查细则（试行）》《黑龙江省食品经营许可（餐饮类）审查细则（试行）》的通知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黑食药监食通〔2015〕307号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37</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关于印发《黑龙江省餐饮服务环节采购、使用食品添加剂备案公示管理办法&gt;(试行)》的通知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黑食药监餐发〔2011〕162号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38</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关于开展黑龙江省餐饮服务单位食品安全信息统一公示的通知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黑食药监餐函〔2012〕5号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39</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关于加强餐饮单位餐饮具监督管理工作通知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黑食药监餐发〔2012〕44号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40</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关于印发《黑龙江省食品药品监督管理局校外托餐机构餐饮服务许可管理办法（试行）》等4个办法的通知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黑食药监餐发〔2013〕20号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41</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关于加强餐饮消费环节酒类管理工作的通知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黑食药监餐发〔2014〕20号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42</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关于开展网络外卖餐饮单位食品安全监督检查工作的通知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黑食药监餐饮函〔2016〕4号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43</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关于校外托餐机构有关事项的通知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黑食药监餐饮函〔2016〕5号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44</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关于转发《食品药品监督管理总局 教育部关于进一步加强中小学校和幼儿园食品安全监督管理工作的通知》的通知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黑食药监规〔2017〕1号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45</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关于进一步加强学校校园食品安全监管工作的通知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黑食药监规〔2017〕19号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46</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关于开展餐饮服务环节食用油安全专项整治工作的通知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黑食药监规〔2017〕31号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47</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关于进一步加强网络餐饮服务食品安全监督管理工作的通知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黑食药监规〔2018〕5号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48</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关于印发黑龙江省婴幼儿配方乳粉生产企业检验管理制度指导意见（试行）的通知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黑食药监乳品〔2014〕125号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49</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关于印发食品安全抽检监测承检机构考核管理办法的通知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黑市监规〔2021〕6号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50</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关于进一步规范特种设备安装改造修理告知和使用登记的通知（黑市监规〔2019〕7号）</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51</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黑龙江省质量技术监督局关于印发《试点推行服务业诚信计量监督管理制度实施方案》的通知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黑质技监计发〔2016〕51号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52</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黑龙江省质量技术监督局关于转发《质检总局办公厅关于做好取消计量检定员资格许可后续工作的通知》的通知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黑质技监规发〔2017〕26号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53</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关于印发《“民用水表、电能表、燃气表”计量专项整治行动实施方案》的通知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54</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关于依法加强计量校准市场监督管理的通知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黑市监规〔2020〕9号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55</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黑龙江省市场监督管理局关于印发《黑龙江省专业标准化技术委员会管理办法》的通告</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56</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关于印发《黑龙江省标准创新贡献奖管理办法（试行）》的通知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黑市监规〔2023〕4号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57</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黑龙江省市场监督管理局黑龙江省财政厅关于印发黑龙江省标准化创新发展奖补资金项目实施细则（试行）的通知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黑市监规〔2024〕2号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58</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关于印发进一步推进检验检测机构资质认定改革工作方案的通知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黑市监规〔2019〕16号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59</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关于印发《黑龙江省“龙江品质”认证奖励管理办法》的通知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黑市监规〔2024〕1号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60</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黑龙江省市场监督管理局关于印发《黑龙江省市场监督管理局行政许可技术评审专家管理办法（试行）》的通知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黑市监规〔2021〕8号</w:t>
            </w:r>
          </w:p>
        </w:tc>
      </w:tr>
    </w:tbl>
    <w:p>
      <w:pPr>
        <w:keepNext w:val="0"/>
        <w:keepLines w:val="0"/>
        <w:pageBreakBefore w:val="0"/>
        <w:kinsoku/>
        <w:wordWrap/>
        <w:overflowPunct/>
        <w:topLinePunct w:val="0"/>
        <w:autoSpaceDE/>
        <w:autoSpaceDN/>
        <w:bidi w:val="0"/>
        <w:adjustRightInd/>
        <w:spacing w:line="440" w:lineRule="exact"/>
        <w:jc w:val="left"/>
        <w:rPr>
          <w:rFonts w:hint="eastAsia" w:ascii="仿宋" w:hAnsi="仿宋" w:eastAsia="仿宋" w:cs="仿宋"/>
          <w:sz w:val="34"/>
          <w:szCs w:val="34"/>
        </w:rPr>
      </w:pPr>
    </w:p>
    <w:p>
      <w:pPr>
        <w:keepNext w:val="0"/>
        <w:keepLines w:val="0"/>
        <w:pageBreakBefore w:val="0"/>
        <w:kinsoku/>
        <w:wordWrap/>
        <w:overflowPunct/>
        <w:topLinePunct w:val="0"/>
        <w:autoSpaceDE/>
        <w:autoSpaceDN/>
        <w:bidi w:val="0"/>
        <w:adjustRightInd/>
        <w:spacing w:line="440" w:lineRule="exact"/>
        <w:jc w:val="left"/>
      </w:pPr>
    </w:p>
    <w:p>
      <w:pPr>
        <w:pStyle w:val="2"/>
        <w:keepNext w:val="0"/>
        <w:keepLines w:val="0"/>
        <w:pageBreakBefore w:val="0"/>
        <w:kinsoku/>
        <w:wordWrap/>
        <w:overflowPunct/>
        <w:topLinePunct w:val="0"/>
        <w:autoSpaceDE/>
        <w:autoSpaceDN/>
        <w:bidi w:val="0"/>
        <w:adjustRightInd/>
        <w:spacing w:after="0" w:line="440" w:lineRule="exact"/>
        <w:jc w:val="left"/>
      </w:pPr>
    </w:p>
    <w:p>
      <w:pPr>
        <w:pStyle w:val="2"/>
        <w:keepNext w:val="0"/>
        <w:keepLines w:val="0"/>
        <w:pageBreakBefore w:val="0"/>
        <w:kinsoku/>
        <w:wordWrap/>
        <w:overflowPunct/>
        <w:topLinePunct w:val="0"/>
        <w:autoSpaceDE/>
        <w:autoSpaceDN/>
        <w:bidi w:val="0"/>
        <w:adjustRightInd/>
        <w:spacing w:after="0" w:line="440" w:lineRule="exact"/>
        <w:jc w:val="left"/>
      </w:pPr>
    </w:p>
    <w:p>
      <w:pPr>
        <w:pStyle w:val="2"/>
        <w:keepNext w:val="0"/>
        <w:keepLines w:val="0"/>
        <w:pageBreakBefore w:val="0"/>
        <w:kinsoku/>
        <w:wordWrap/>
        <w:overflowPunct/>
        <w:topLinePunct w:val="0"/>
        <w:autoSpaceDE/>
        <w:autoSpaceDN/>
        <w:bidi w:val="0"/>
        <w:adjustRightInd/>
        <w:spacing w:after="0" w:line="440" w:lineRule="exact"/>
        <w:jc w:val="left"/>
      </w:pPr>
    </w:p>
    <w:p>
      <w:pPr>
        <w:pStyle w:val="2"/>
        <w:keepNext w:val="0"/>
        <w:keepLines w:val="0"/>
        <w:pageBreakBefore w:val="0"/>
        <w:kinsoku/>
        <w:wordWrap/>
        <w:overflowPunct/>
        <w:topLinePunct w:val="0"/>
        <w:autoSpaceDE/>
        <w:autoSpaceDN/>
        <w:bidi w:val="0"/>
        <w:adjustRightInd/>
        <w:spacing w:after="0" w:line="440" w:lineRule="exact"/>
        <w:jc w:val="left"/>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bookmarkStart w:id="0" w:name="_GoBack"/>
      <w:bookmarkEnd w:id="0"/>
    </w:p>
    <w:sectPr>
      <w:footerReference r:id="rId3" w:type="default"/>
      <w:pgSz w:w="11906" w:h="16838"/>
      <w:pgMar w:top="2098" w:right="1474" w:bottom="1984" w:left="1587" w:header="851" w:footer="992" w:gutter="0"/>
      <w:pgNumType w:fmt="decimal"/>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3"/>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NWFiOWU0MTk0NWIxNDM5NzAwZGJhODJkZjU0YjAifQ=="/>
  </w:docVars>
  <w:rsids>
    <w:rsidRoot w:val="33FC0529"/>
    <w:rsid w:val="33FC0529"/>
    <w:rsid w:val="6FF624AF"/>
    <w:rsid w:val="CEFFC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szCs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2024-10-25T07:35:00Z</dcterms:created>
  <dc:creator>郑皓月</dc:creator>
  <cp:lastModifiedBy>greatwall</cp:lastModifiedBy>
  <dcterms:modified xsi:type="dcterms:W3CDTF">2024-10-25T17:34:37Z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572EFBA5FBBE4A5CB6A8FCE539CA6DBE_11</vt:lpwstr>
  </property>
</Properties>
</file>