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场车生产单位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安全总监题库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黑体" w:hAnsi="黑体" w:eastAsia="黑体" w:cs="黑体"/>
          <w:sz w:val="36"/>
          <w:szCs w:val="36"/>
        </w:rPr>
      </w:pPr>
      <w:r>
        <w:rPr>
          <w:rFonts w:hint="eastAsia" w:ascii="黑体" w:hAnsi="黑体" w:eastAsia="黑体" w:cs="黑体"/>
          <w:sz w:val="36"/>
          <w:szCs w:val="36"/>
        </w:rPr>
        <w:t>2024年6月20日</w:t>
      </w:r>
    </w:p>
    <w:p>
      <w:pPr>
        <w:jc w:val="center"/>
        <w:rPr>
          <w:rFonts w:ascii="黑体" w:hAnsi="黑体" w:eastAsia="黑体" w:cs="黑体"/>
          <w:sz w:val="36"/>
          <w:szCs w:val="36"/>
        </w:rPr>
      </w:pPr>
    </w:p>
    <w:p>
      <w:pPr>
        <w:rPr>
          <w:rFonts w:ascii="宋体" w:hAnsi="宋体" w:eastAsia="宋体" w:cs="宋体"/>
          <w:color w:val="000000"/>
          <w:kern w:val="0"/>
          <w:sz w:val="24"/>
          <w:szCs w:val="22"/>
        </w:rPr>
      </w:pPr>
    </w:p>
    <w:p>
      <w:pPr>
        <w:jc w:val="center"/>
        <w:rPr>
          <w:rFonts w:ascii="黑体" w:hAnsi="黑体" w:eastAsia="黑体" w:cs="黑体"/>
          <w:sz w:val="32"/>
          <w:szCs w:val="32"/>
        </w:rPr>
      </w:pPr>
      <w:r>
        <w:rPr>
          <w:rFonts w:hint="eastAsia" w:ascii="黑体" w:hAnsi="黑体" w:eastAsia="黑体" w:cs="黑体"/>
          <w:sz w:val="32"/>
          <w:szCs w:val="32"/>
        </w:rPr>
        <w:t>场车质量安全总监</w:t>
      </w:r>
    </w:p>
    <w:p>
      <w:pPr>
        <w:numPr>
          <w:ilvl w:val="0"/>
          <w:numId w:val="1"/>
        </w:numPr>
        <w:rPr>
          <w:sz w:val="32"/>
          <w:szCs w:val="32"/>
        </w:rPr>
      </w:pPr>
      <w:r>
        <w:rPr>
          <w:rFonts w:hint="eastAsia"/>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81—2022）的规定，从事场车改造的单位，在进行改造施工前，应当按照规定向设备所在地的特种设备安全监督管理部门告知，告知后方可改造。（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81—2022）3.5.1  改造的告知</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从事场车改造的单位，在进行改造施工前，应当按照规定向设备所在地的特种设备安全监督管理部门告知，告知后方可改造。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81—2022）的规定，改造涉及场车主参数的，在铭牌中增加改造的主参数信息。（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81—2022）3.5.3改造后的铭牌和标志</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改造后，原铭牌不变，同时增加新的场车铭牌，铭牌至少包括从事改造的单位名称、改造日期、许可证编号。改造涉及场车主参数的，在铭牌中增加改造的主参数信息。</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改造涉及改变原叉车载荷曲线的，改造单位应当按照3.4.4的要求重新出具标示叉车额定起重量和实际起重量的载荷曲线图或者载荷表。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81—2022）的规定，改造，是指改变原叉车的动力方式、传动方式、车架结构、驾驶方式，观光车辆的动力方式、传动方式，或者改变场车原主参数或者载荷曲线的活动。（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81—2022）的规定，修理，是指更换原叉车的动力装置、转向装置、传动装置、落物保护构件、门架构件，观光车辆的动力装置、车身构件、传动装置，但是不改变场车原主参数或者载荷曲线的活动。（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、根据《特种设备安全监察条例》的规定，特种设备安装、改造、维修的施工单位在告知后即可施工。（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9</w:t>
      </w:r>
      <w:r>
        <w:rPr>
          <w:rFonts w:hint="eastAsia" w:ascii="宋体" w:hAnsi="宋体" w:eastAsia="宋体" w:cs="宋体"/>
          <w:color w:val="000000"/>
          <w:kern w:val="0"/>
          <w:sz w:val="24"/>
          <w:szCs w:val="22"/>
        </w:rPr>
        <w:t>、根据《特种设备安全监察条例》的规定，场车的改造、维修竣工后，改造、维修的施工单位应当在验收后30日内将有关技术资料移交使用单位。（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pStyle w:val="2"/>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第二十条 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bookmarkStart w:id="0" w:name="_GoBack"/>
      <w:bookmarkEnd w:id="0"/>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0</w:t>
      </w:r>
      <w:r>
        <w:rPr>
          <w:rFonts w:hint="eastAsia" w:ascii="宋体" w:hAnsi="宋体" w:eastAsia="宋体" w:cs="宋体"/>
          <w:color w:val="000000"/>
          <w:kern w:val="0"/>
          <w:sz w:val="24"/>
          <w:szCs w:val="22"/>
        </w:rPr>
        <w:t>、根据《特种设备作业人员监督管理办法》的规定，用人单位可不建立特种设备作业人员管理档案。（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《特种设备作业人员监督管理办法》第二十条  用人单位应当加强对特种设备作业现场和作业人员的管理，履行下列义务：</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（一）制订特种设备操作规程和有关安全管理制度；</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（二）聘用持证作业人员，并建立特种设备作业人员管理档案；</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（三）对作业人员进行安全教育和培训；</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（四）确保持证上岗和按章操作；</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（五）提供必要的安全作业条件；</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（六）其他规定的义务。</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1</w:t>
      </w:r>
      <w:r>
        <w:rPr>
          <w:rFonts w:hint="eastAsia" w:ascii="宋体" w:hAnsi="宋体" w:eastAsia="宋体" w:cs="宋体"/>
          <w:color w:val="000000"/>
          <w:kern w:val="0"/>
          <w:sz w:val="24"/>
          <w:szCs w:val="22"/>
        </w:rPr>
        <w:t>、根据《特种设备生产和充装单位许可规则》（TSG 07-2019）及第1号修改单的规定，特种设备许可证书有效期为4年。（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07-2019）及第1号修改单1.5许可证书及有效期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2</w:t>
      </w:r>
      <w:r>
        <w:rPr>
          <w:rFonts w:hint="eastAsia" w:ascii="宋体" w:hAnsi="宋体" w:eastAsia="宋体" w:cs="宋体"/>
          <w:color w:val="000000"/>
          <w:kern w:val="0"/>
          <w:sz w:val="24"/>
          <w:szCs w:val="22"/>
        </w:rPr>
        <w:t>、根据《特种设备生产和充装单位许可规则》（TSG 07-2019）及第1号修改单的规定，生产和充装单位资源条件要求的生产（充装）设备（厂房附属的起重设备除外）、工艺装备、检测仪器、试验装置等一般不允许承租。（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07-2019）及第1号修改单2.2.2.2设备设施</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生产和充装单位资源条件要求的生产（充装）设备（厂房附属的起重设备除外）、工艺装备、检测仪器、试验装置等一般不允许承租。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3</w:t>
      </w:r>
      <w:r>
        <w:rPr>
          <w:rFonts w:hint="eastAsia" w:ascii="宋体" w:hAnsi="宋体" w:eastAsia="宋体" w:cs="宋体"/>
          <w:color w:val="000000"/>
          <w:kern w:val="0"/>
          <w:sz w:val="24"/>
          <w:szCs w:val="22"/>
        </w:rPr>
        <w:t>、根据《特种设备安全监督检查办法》的规定，特种设备生产、经营、使用单位和检验、检测机构及其人员应当积极配合市场监督管理部门依法实施的特种设备安全监督检查。（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《特种设备安全监督检查办法》第二十条 特种设备生产、经营、使用单位和检验、检测机构及其人员应当积极配合市场监督管理部门依法实施的特种设备安全监督检查。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4</w:t>
      </w:r>
      <w:r>
        <w:rPr>
          <w:rFonts w:hint="eastAsia" w:ascii="宋体" w:hAnsi="宋体" w:eastAsia="宋体" w:cs="宋体"/>
          <w:color w:val="000000"/>
          <w:kern w:val="0"/>
          <w:sz w:val="24"/>
          <w:szCs w:val="22"/>
        </w:rPr>
        <w:t>、根据《特种设备安全监督检查办法》的规定，未经许可，擅自从事特种设备生产、电梯维护保养、移动式压力容器充装或者气瓶充装活动的，属于重大违法行为。（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《特种设备安全监督检查办法》第二十四条 本办法所称重大违法行为包括以下情形：</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（一）未经许可，擅自从事特种设备生产、电梯维护保养、移动式压力容器充装或者气瓶充装活动的；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（二）未经核准，擅自从事特种设备检验、检测的；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（三）特种设备生产单位生产、销售、交付国家明令淘汰的特种设备，或者涂改、倒卖、出租、出借生产许可证的；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（四）特种设备经营单位销售、出租未取得许可生产、未经检验或者检验不合格、国家明令淘汰、已经报废的特种设备的；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（五）谎报或者瞒报特种设备事故的；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（六）检验、检测机构和人员出具虚假或者严重失实的检验、检测结果和鉴定结论的；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（七）被检查单位对严重事故隐患不予整改或者消除的；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（八）法律、行政法规和部门规章规定的其他重大违法行为。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5</w:t>
      </w:r>
      <w:r>
        <w:rPr>
          <w:rFonts w:hint="eastAsia" w:ascii="宋体" w:hAnsi="宋体" w:eastAsia="宋体" w:cs="宋体"/>
          <w:color w:val="000000"/>
          <w:kern w:val="0"/>
          <w:sz w:val="24"/>
          <w:szCs w:val="22"/>
        </w:rPr>
        <w:t>、根据《特种设备事故报告和调查处理规定》的规定，人为破坏或者利用特种设备实施违法犯罪导致的事故，不属于特种设备事故。（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《特种设备事故报告和调查处理规定》第三条 以下情形不属于本规定所称特种设备事故：</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（一）《中华人民共和国特种设备安全法》第一百条规定的特种设备造成的事故；</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（二）自然灾害等不可抗力或者交通事故、火灾事故等外部因素引发的事故；</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（三）人为破坏或者利用特种设备实施违法犯罪导致的事故；</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（四）特种设备具备使用功能前或者在拆卸、报废、转移等非作业状态下发生的事故；</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（五）特种设备作业、检验、检测人员因劳动保护措施不当或者缺失而发生的事故；</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（六）场（厂）内专用机动车辆驶出规定的工厂厂区、旅游景区、游乐场所等特定区域发生的事故。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6</w:t>
      </w:r>
      <w:r>
        <w:rPr>
          <w:rFonts w:hint="eastAsia" w:ascii="宋体" w:hAnsi="宋体" w:eastAsia="宋体" w:cs="宋体"/>
          <w:color w:val="000000"/>
          <w:kern w:val="0"/>
          <w:sz w:val="24"/>
          <w:szCs w:val="22"/>
        </w:rPr>
        <w:t>、根据《特种设备生产单位落实质量安全主体责任监督管理规定》的规定，场车生产单位主要负责人在作出涉及场车质量安全的重大决策前，应当充分听取质量安全总监和质量安全员的意见和建议。（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7</w:t>
      </w:r>
      <w:r>
        <w:rPr>
          <w:rFonts w:hint="eastAsia" w:ascii="宋体" w:hAnsi="宋体" w:eastAsia="宋体" w:cs="宋体"/>
          <w:color w:val="000000"/>
          <w:kern w:val="0"/>
          <w:sz w:val="24"/>
          <w:szCs w:val="22"/>
        </w:rPr>
        <w:t>、根据《特种设备生产单位落实质量安全主体责任监督管理规定》的规定，质量安全总监、质量安全员发现场车产品存在危及安全的缺陷时，应当提出停止相关场车生产等否决建议，场车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质量安全总监、质量安全员发现场车产品存在危及安全的缺陷时，应当提出停止相关场车生产等否决建议，场车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w:t>
      </w:r>
      <w:r>
        <w:rPr>
          <w:rFonts w:hint="eastAsia" w:ascii="宋体" w:hAnsi="宋体" w:eastAsia="宋体" w:cs="宋体"/>
          <w:color w:val="000000"/>
          <w:kern w:val="0"/>
          <w:sz w:val="24"/>
          <w:szCs w:val="22"/>
          <w:lang w:val="en-US" w:eastAsia="zh-CN"/>
        </w:rPr>
        <w:t>8</w:t>
      </w:r>
      <w:r>
        <w:rPr>
          <w:rFonts w:hint="eastAsia" w:ascii="宋体" w:hAnsi="宋体" w:eastAsia="宋体" w:cs="宋体"/>
          <w:color w:val="000000"/>
          <w:kern w:val="0"/>
          <w:sz w:val="24"/>
          <w:szCs w:val="22"/>
        </w:rPr>
        <w:t>、根据《场(厂)内专用机动车辆安全技术规程》（TSG 81—2022）的规定，场车转向系统应当转动灵活、操纵方便、无卡滞，在任意转向操作时不得与其他部件有干涉。（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81—2022）2.5.3.1一般要求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(1)转向系统应当转动灵活、操纵方便、无卡滞，在任意转向操作时不得与其他部件有干涉；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(2)场车应当具有良好的直线行驶性能和转向跟随性。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rPr>
        <w:t>19</w:t>
      </w:r>
      <w:r>
        <w:rPr>
          <w:rFonts w:hint="eastAsia" w:ascii="宋体" w:hAnsi="宋体" w:eastAsia="宋体" w:cs="宋体"/>
          <w:color w:val="000000"/>
          <w:kern w:val="0"/>
          <w:sz w:val="24"/>
          <w:szCs w:val="22"/>
        </w:rPr>
        <w:t>、根据《场(厂)内专用机动车辆安全技术规程》（TSG 81—2022）的规定，场车应当具有良好的直线行驶性能和转向跟随性。（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B、错误</w:t>
      </w:r>
    </w:p>
    <w:p>
      <w:pPr>
        <w:widowControl/>
        <w:jc w:val="left"/>
        <w:textAlignment w:val="cente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81—2022）2.5.3.1一般要求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(1)转向系统应当转动灵活、操纵方便、无卡滞，在任意转向操作时不得与其他部件有干涉；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(2)场车应当具有良好的直线行驶性能和转向跟随性。</w:t>
      </w:r>
    </w:p>
    <w:p>
      <w:pPr>
        <w:numPr>
          <w:ilvl w:val="0"/>
          <w:numId w:val="1"/>
        </w:numPr>
        <w:rPr>
          <w:sz w:val="32"/>
          <w:szCs w:val="32"/>
        </w:rPr>
      </w:pPr>
      <w:r>
        <w:rPr>
          <w:rFonts w:hint="eastAsia"/>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1、根据《场(厂)内专用机动车辆安全技术规程》（TSG 81—2022）的规定，制造、改造过程检验记录（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81—2022）3.3  产品检验</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(4)制造、改造过程检验记录长期保存，修理过程检验记录保存不少于5年。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2、根据《场(厂)内专用机动车辆安全技术规程》（TSG 81—2022）的规定，修理过程检验记录（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A、保存不少于3年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C、保存不少于10年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D、长期保存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81—2022）3.3  产品检验</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(4)制造、改造过程检验记录长期保存，修理过程检验记录保存不少于5年。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3、根据《场(厂)内专用机动车辆安全技术规程》（TSG 81—2022）的规定，委托生产的场车，产品合格证由委托方出具，制造地址填写（      ）地址。D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B、被委托方单位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D、实际制造</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81—2022）3.4.2 产品质量合格证明</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委托生产的场车，产品合格证由委托方出具，制造单位名称、许可证编号和型式试验证书编号应当同时填写委托方与被委托方信息，制造地址填写实际制造地址。</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4、根据《场(厂)内专用机动车辆安全技术规程》（TSG 81—2022）的规定，叉车应当在醒目的位置以（      ）形式设置具有下列含义的安全标志：禁止站在货叉上、禁止站在货叉下、手指或者手被挤压风险提示，配备安全带的叉车还应当包括扣紧安全带。C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A、图形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C、图形或文字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D、图形和文字组合</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81—2022）3.4.6 安全标志</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叉车应当在醒目的位置以图形或者文字形式设置具有下列含义的安全标志：禁止站在货叉上、禁止站在货叉下、手指或者手被挤压风险提示，配备安全带的叉车还应当包括扣紧安全带。</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观光车辆应当在醒目的位置以图形或者文字形式设置具有下列含义的安全标志：系好安全带、灭火器、车未停稳前请勿下车。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5、根据《场(厂)内专用机动车辆安全技术规程》（TSG 81—2022）的规定，改造后，场车整车安全性能由（      ）单位负责。C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81—2022）3.5.2 改造后的产品质量合格证明</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改造后，场车整车安全性能由改造单位负责，改造单位应当按照3.4.2出具产品质量合格证明。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6、根据《场(厂)内专用机动车辆安全技术规程》（TSG 81—2022）的规定，场车改造、修理后，改造、修理单位应当按照要求完成检验，检验报告和相关技术资料应当移交（      ）单位存档。D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D、使用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81—2022）3.5.4  改造与修理的检验</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(1)场车改造、修理后，改造、修理单位应当按照3.3的要求完成检验，检验报告和相关技术资料应当移交使用单位存档；</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(2)场车改造后应当经首次检验合格，并且变更使用登记后方可投入使用。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7、根据《场(厂)内专用机动车辆安全技术规程》（TSG 81—2022）的规定，改造，是指改变原叉车的动力方式、传动方式、车架结构、驾驶方式，观光车辆的动力方式、（      ），或者改变场车原主参数或者载荷曲线的活动。A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B、车架结构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C、驾驶方式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D、转向方式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81—2022）6.1  用语的含义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(1)改造，是指改变原叉车的动力方式、传动方式、车架结构、驾驶方式，观光车辆的动力方式、传动方式，或者改变场车原主参数或者载荷曲线的活动。</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(2)修理，是指更换原叉车的动力装置、转向装置、传动装置、落物保护构件、门架构件，观光车辆的动力装置、车身构件、传动装置，但是不改变场车原主参数或者载荷曲线的活动。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8、根据《中华人民共和国特种设备安全法》的规定，特种设备的（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D、设计</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9、根据《中华人民共和国特种设备安全法》的规定，特种设备安装、改造、修理的施工单位应当在施工前将拟进行的特种设备安装、改造、修理情况书面（      ）直辖市或者设区的市级人民政府负责特种设备安全监督管理的部门。A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C、汇报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D、请示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10、根据《特种设备安全监察条例》的规定，场车的改造、维修以及竣工后，改造、维修的施工单位应当在验收后（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安全监察条例》第二十条锅炉、压力容器、电梯、起重机械、客运索道、场车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11、根据《特种设备作业人员监督管理办法》的规定，（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12、根据《特种设备作业人员监督管理办法》的规定，持有《特种设备作业人员证》的人员，必须经用人单位的法定代表人（负责人）或者其授权人（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13、根据《特种设备生产和充装单位许可规则》（TSG 07-2019）及第1号修改单的规定，特种设备许可证书有效期为（      ）年。B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07-2019）及第1号修改单1.5许可证书及有效期</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特种设备许可证书包括《中华人民共和国特种设备生产许可证》和《中华人民共和国移动式压力容器（气瓶）充装许可证》（以下简称许可证，样式见附件A），其有效期均为4年。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14、根据《特种设备生产和充装单位许可规则》（TSG 07-2019）及第1号修改单的规定，资源条件中的技术人员应当具有（      ）专业教育背景，取得相关专业技术职称并且具有相关工作经验。B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A、机械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B、理工类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D、电气</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07-2019）及第1号修改单2.2.1人员</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资源条件中的技术人员应当具有理工类专业教育背景，取得相关专业技术职称并且具有相关工作经验。</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资源条件中的安全管理人员、检测人员、作业人员，纳入特种设备人员行政许可的，应当取得相应的特种设备人员资格证。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15、根据《特种设备生产和充装单位许可规则》（TSG 07-2019）及第1号修改单的规定，生产和充装单位的场地、厂房、办公场所、仓库（      ）承租。A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B、不允许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D、禁止</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07-2019）及第1号修改单2.2.2.1工作场所</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16、根据《特种设备生产和充装单位许可规则》（TSG 07-2019）及第1号修改单的规定，住所、制造地址、办公地址、充装地址的名称改变应申请（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A、许可变更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B、作废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C、废止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D、暂停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07-2019）及第1号修改单3.6.2.1变更含义</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许可证变更是指在许可证有效期内，持证单位发生下列情形之一的：</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（1）单位名称改变；</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（2）住所、制造地址、办公地址、充装地址的名称改变（以下统称地址更名）；</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（3）住所、制造地址、办公地址、充装地址搬迁（以下统称地址搬迁）；</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（4）多制造地址（充装地址）中一个或者多个制造地址（充装地址）注销（以下简称制造或者充装地址注销）；</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（5）许可级别改变；</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（6）其他需要变更的情形。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17、根据《特种设备生产和充装单位许可规则》（TSG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B、6</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C、9</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D、12</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07-2019）及第1号修改单3.6.3.1一般要求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18、根据《特种设备生产和充装单位许可规则》（TSG 07-2019）及第1号修改单的规定，持证单位应当妥善保管许可证，不得（      ）、倒卖、出租、出借许可证。A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A、涂改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07-2019）及第1号修改单4.1许可证管理</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（1）持证单位应当妥善保管许可证，不得涂改、倒卖、出租、出借许可证；</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（3）申请单位提供虚假材料骗取许可的，为其提供协助的相关单位承担连带责任；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19、根据《特种设备生产和充装单位许可规则》（TSG 07-2019）及第1号修改单的规定，持证单位应当妥善保管许可证，不得涂改、（      ）、出租、出借许可证。A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A、倒卖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07-2019）及第1号修改单4.1许可证管理</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（1）持证单位应当妥善保管许可证，不得涂改、倒卖、出租、出借许可证；</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（3）申请单位提供虚假材料骗取许可的，为其提供协助的相关单位承担连带责任；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20、根据《特种设备生产和充装单位许可规则》（TSG 07-2019）及第1号修改单的规定，持证单位应当妥善保管许可证，不得涂改、倒卖、（      ）、出借许可证。A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A、出租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B、变卖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C、租赁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D、变更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07-2019）及第1号修改单4.1许可证管理</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（1）持证单位应当妥善保管许可证，不得涂改、倒卖、出租、出借许可证；</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（3）申请单位提供虚假材料骗取许可的，为其提供协助的相关单位承担连带责任；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21、根据《特种设备生产和充装单位许可规则》（TSG 07-2019）及第1号修改单的规定，采取自我声明承诺换证的生产单位，如果发现提交虚假材料，（      ）依法撤销其许可证。A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A、发证机关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B、主管部门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C、监察人员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D、上级部门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《特种设备生产和充装单位许可规则》（TSG 07-2019）及第1号修改单4.1许可证管理</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（1）持证单位应当妥善保管许可证，不得涂改、倒卖、出租、出借许可证；</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（2）许可证的吊（撤）销和注销以及相关行政处罚，按照国家有关法律、行政法规和规章的规定执行；公司与子（分）公司共同取得许可的，发生本项所述情形时，公司作为责任主体，子公司承担连带责任；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（3）申请单位提供虚假材料骗取许可的，为其提供协助的相关单位承担连带责任；</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（4）采取自我声明承诺换证的生产单位，如果发现提交虚假材料，发证机关依法撤销其许可证。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D、3</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《特种设备事故报告和调查处理导则》（TSG 03-2015）3.1.1事故发生单位的报告</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B、特种设备主管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C、特种设备安全管理员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D、特种设备作业人员</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《特种设备事故报告和调查处理导则》（TSG 03-2015）3.1.1事故发生单位的报告</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24、根据《特种设备生产单位落实质量安全主体责任监督管理规定》的规定，质量安全总监和质量安全员应当按照岗位职责，协助单位（      ）做好场车质量安全管理工作。B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A、老板</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C、总经理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D、厂长</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对本单位场车质量安全全面负责，建立并落实场车质量安全主体责任的长效机制。质量安全总监和质量安全员应当按照岗位职责，协助单位主要负责人做好场车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25、根据《特种设备生产单位落实质量安全主体责任监督管理规定》的规定，场车生产单位主要负责人应当（      ）质量安全总监和质量安全员依法开展场车质量安全管理工作。C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A、相信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B、支持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D、保障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26、根据《特种设备生产单位落实质量安全主体责任监督管理规定》的规定，场车生产单位主要负责人在作出涉及场车质量安全的（      ）前，应当充分听取质量安全总监和质量安全员的意见和建议。A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A、重大决策</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B、决定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C、决心</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D、判断</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主要负责人应当支持和保障质量安全总监和质量安全员依法开展场车质量安全管理工作，在作出涉及场车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27、根据《特种设备生产单位落实质量安全主体责任监督管理规定》的规定，质量安全员要每（      ）根据《场车质量安全风险管控清单》进行检查，未发现问题，可不记录。A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28、根据《特种设备生产单位落实质量安全主体责任监督管理规定》的规定，质量安全总监要每（      ）至少组织一次风险隐患排查，分析研判场车质量安全管理情况，研究解决日管控中发现的问题，形成《每周场车质量安全排查治理报告》。B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特种设备生产单位落实质量安全主体责任监督管理规定》场车生产单位应当建立场车质量安全周排查制度。质量安全总监要每周至少组织一次风险隐患排查，分析研判场车质量安全管理情况，研究解决日管控中发现的问题，形成《每周场车质量安全排查治理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29、根据《场(厂)内专用机动车辆安全技术规程》（TSG 81—2022）的规定，观光车辆（      ）状态下的侧倾稳定角不小于35°。A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A、无载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B、满载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C、半载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D、超载</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81—2022）2.1.2  观光车辆技术参数的特殊要求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观光车辆的技术参数应当符合以下要求：</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(5)观光车辆无载状态下的侧倾稳定角不小于35°。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30、根据《场(厂)内专用机动车辆安全技术规程》（TSG 81—2022）的规定，观光车辆应当设置（      ）限位装置。C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A、传动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B、行驶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C、转向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rPr>
        <w:t>D、制动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rPr>
        <w:t>【来源】</w:t>
      </w:r>
      <w:r>
        <w:rPr>
          <w:rFonts w:hint="eastAsia" w:ascii="宋体" w:hAnsi="宋体" w:eastAsia="宋体" w:cs="宋体"/>
          <w:color w:val="000000"/>
          <w:kern w:val="0"/>
          <w:sz w:val="24"/>
          <w:szCs w:val="22"/>
        </w:rPr>
        <w:t>《场(厂)内专用机动车辆安全技术规程》（TSG 81—2022）2.5.3.3观光车辆</w:t>
      </w:r>
      <w:r>
        <w:rPr>
          <w:rFonts w:hint="eastAsia" w:ascii="宋体" w:hAnsi="宋体" w:eastAsia="宋体" w:cs="宋体"/>
          <w:color w:val="000000"/>
          <w:kern w:val="0"/>
          <w:sz w:val="24"/>
          <w:szCs w:val="22"/>
        </w:rPr>
        <w:br w:type="textWrapping"/>
      </w:r>
      <w:r>
        <w:rPr>
          <w:rFonts w:hint="eastAsia" w:ascii="宋体" w:hAnsi="宋体" w:eastAsia="宋体" w:cs="宋体"/>
          <w:color w:val="000000"/>
          <w:kern w:val="0"/>
          <w:sz w:val="24"/>
          <w:szCs w:val="22"/>
        </w:rPr>
        <w:t>(2)应当设置转向限位装置。</w:t>
      </w:r>
    </w:p>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50AAB"/>
    <w:multiLevelType w:val="singleLevel"/>
    <w:tmpl w:val="FEC50A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FiZDIzMjBhYjY3YjcwYmIxYWI1NjM4YzVmYjEyMDMifQ=="/>
  </w:docVars>
  <w:rsids>
    <w:rsidRoot w:val="00620759"/>
    <w:rsid w:val="00572310"/>
    <w:rsid w:val="00620759"/>
    <w:rsid w:val="00776BF6"/>
    <w:rsid w:val="00BF220F"/>
    <w:rsid w:val="00F77E35"/>
    <w:rsid w:val="00FF63E8"/>
    <w:rsid w:val="04451B55"/>
    <w:rsid w:val="10761B7B"/>
    <w:rsid w:val="14AF5155"/>
    <w:rsid w:val="17271301"/>
    <w:rsid w:val="1B687FD1"/>
    <w:rsid w:val="20183882"/>
    <w:rsid w:val="21B15FA4"/>
    <w:rsid w:val="24A8168E"/>
    <w:rsid w:val="254070E7"/>
    <w:rsid w:val="39FA01F5"/>
    <w:rsid w:val="4C5864D9"/>
    <w:rsid w:val="60F7791C"/>
    <w:rsid w:val="668F5FE1"/>
    <w:rsid w:val="6CDF2FAC"/>
    <w:rsid w:val="6FBB1007"/>
    <w:rsid w:val="758235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uiPriority w:val="0"/>
    <w:rPr>
      <w:rFonts w:asciiTheme="minorHAnsi" w:hAnsiTheme="minorHAnsi" w:eastAsiaTheme="minorEastAsia" w:cstheme="minorBidi"/>
      <w:kern w:val="2"/>
      <w:sz w:val="18"/>
      <w:szCs w:val="18"/>
    </w:rPr>
  </w:style>
  <w:style w:type="character" w:customStyle="1" w:styleId="11">
    <w:name w:val="页脚 Char"/>
    <w:basedOn w:val="8"/>
    <w:link w:val="4"/>
    <w:uiPriority w:val="0"/>
    <w:rPr>
      <w:rFonts w:asciiTheme="minorHAnsi" w:hAnsiTheme="minorHAnsi" w:eastAsiaTheme="minorEastAsia" w:cstheme="minorBidi"/>
      <w:kern w:val="2"/>
      <w:sz w:val="18"/>
      <w:szCs w:val="18"/>
    </w:rPr>
  </w:style>
  <w:style w:type="character" w:customStyle="1" w:styleId="12">
    <w:name w:val="批注文字 Char"/>
    <w:basedOn w:val="8"/>
    <w:link w:val="2"/>
    <w:uiPriority w:val="0"/>
    <w:rPr>
      <w:rFonts w:asciiTheme="minorHAnsi" w:hAnsiTheme="minorHAnsi" w:eastAsiaTheme="minorEastAsia" w:cstheme="minorBidi"/>
      <w:kern w:val="2"/>
      <w:sz w:val="21"/>
      <w:szCs w:val="24"/>
    </w:rPr>
  </w:style>
  <w:style w:type="character" w:customStyle="1" w:styleId="13">
    <w:name w:val="批注主题 Char"/>
    <w:basedOn w:val="12"/>
    <w:link w:val="6"/>
    <w:qFormat/>
    <w:uiPriority w:val="0"/>
    <w:rPr>
      <w:b/>
      <w:bCs/>
    </w:rPr>
  </w:style>
  <w:style w:type="character" w:customStyle="1" w:styleId="14">
    <w:name w:val="批注框文本 Char"/>
    <w:basedOn w:val="8"/>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11569</Words>
  <Characters>12151</Characters>
  <Lines>11</Lines>
  <Paragraphs>26</Paragraphs>
  <TotalTime>1</TotalTime>
  <ScaleCrop>false</ScaleCrop>
  <LinksUpToDate>false</LinksUpToDate>
  <CharactersWithSpaces>12529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2024-06-22T08:44:00Z</dcterms:created>
  <dc:creator>R1218</dc:creator>
  <cp:lastModifiedBy>广龙广大木灬</cp:lastModifiedBy>
  <dcterms:modified xsi:type="dcterms:W3CDTF">2024-06-23T14:51:58Z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