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场车安全总监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81—2022）的规定，工厂厂区，指有明确管理边界，从事加工、组装等的制造厂厂区，港口(码头)，铁路货场和物流园区。（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工厂厂区，指有明确管理边界，从事加工、组装等的制造厂厂区，港口(码头)，铁路货场和物流园区。</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旅游景区，指有明确管理边界，纳入风景游览区、公园、动物园、植物园范畴管理的区域。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81—2022）的规定，场车安全管理人员和相关人员应当到场配合、协助检验工作，负责现场安全监护。（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81—2022）4.2.2.2.1  现场检验条件准备</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现场检验时，使用单位应当做好以下工作：</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(1)场车安全管理人员和相关人员应当到场配合、协助检验工作，负责现场安全监护；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81—2022）的规定，在场车首次投入使用前，向特种设备检验机构申请首次检验。（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81—2022）5.1.1  使用单位的基本要求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使用单位应当遵守《特种设备使用管理规则》的规定，同时还应当符合以下要求：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(5)在场车首次投入使用前，向特种设备检验机构申请首次检验；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81—2022）的规定，改造，是指改变原叉车的动力方式、传动方式、车架结构、驾驶方式，观光车辆的动力方式、传动方式，或者改变场车原主参数或者载荷曲线的活动。（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5、根据《特种设备安全监督检查办法》的规定，特种设备未经监督检验或者经检验、检测不合格，继续使用的，属于严重事故隐患。（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6、根据《特种设备安全监督检查办法》的规定，特种设备发生过事故或者有明显故障，未对其进行全面检查、消除事故隐患，继续使用的，不属于严重事故隐患。（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情况紧急时，事故现场有关人员可以直接向事故发生地的县级以上市场监督管理部门报告。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9、根据《中华人民共和国特种设备安全法》的规定，特种设备存在严重事故隐患，无改造、修理价值，或者达到安全技术规范规定的其他报废条件的，特种设备使用单位应当依法履行报废义务。（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10、根据《特种设备安全监察条例》的规定，特种设备使用单位应当建立特种设备安全技术档案。（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《特种设备安全监察条例》第二十六条　特种设备使用单位应当建立特种设备安全技术档案。安全技术档案应当包括以下内容：</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(一)特种设备的设计文件、制造单位、产品质量合格证明、使用维护说明等文件以及安装技术文件和资料；</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(二)特种设备的定期检验和定期自行检查的记录；</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(三)特种设备的日常使用状况记录；</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(四)特种设备及其安全附件、安全保护装置、测量调控装置及有关附属仪器仪表的日常维护保养记录；</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(五)特种设备运行故障和事故记录；</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　　(六)高耗能特种设备的能效测试报告、能耗状况记录以及节能改造技术资料。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11、根据《特种设备使用管理规则》的规定，使用单位可拒绝接受特种设备安全监管部门依法实施的监督检查。（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《特种设备使用管理规则》使用单位应当接受特种设备安全监管部门依法实施的监督检查。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12、根据《特种设备使用管理规则》的规定，使用特种设备(不含气瓶)总量 50 台以上(含 50 台)的的使用单位应设置特种设备安全管理机构。（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《特种设备使用管理规则》符合下列条件之一的特种设备使用单位，应当根据本单位特种设备的类别、品种、用途、数量等情况设置特种设备安全管理机构，逐台落实安全责任人：</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(1)使用电站锅炉或者石化与化工成套装置的；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(2)使用为公众提供运营服务电梯的(注 2-2)，或者在公众聚集场所(注 2-3)使用 30 台以上(含 30 台)电梯的；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(3)使用 10 台以上(含 10 台)大型游乐设施的，或者 10 台以上(含 10 台)为公众 提供运营服务非公路用旅游观光车辆的；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(4)使用客运架空索道，或者客运缆车的；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(5)使用特种设备(不含气瓶)总量 50 台以上(含 50 台)的。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13、根据《特种设备作业人员监督管理办法》的规定，作业人员未能参加用人单位培训的，可以选择专业培训机构进行培训。（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14、根据《特种设备作业人员监督管理办法》的规定，申请人隐瞒有关情况或者提供虚假材料申请特种设备作业人员证的，不予受理或者不予批准发证，并在1年内不得再次申请特种设备作业人员证。（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15、根据《特种设备使用单位落实使用安全主体责任监督管理规定》的规定，场车使用单位主要负责人对本单位场车使用安全全面负责。（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主要负责人对本单位场车使用安全全面负责，建立并落实场车使用安全主体责任的长效机制。场车安全总监和场车安全员应当按照岗位职责，协助单位主要负责人做好场车使用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使用单位落实使用安全主体责任监督管理规定》的规定，场车安全总监要每周至少组织一次风险隐患排查，分析研判场车使用安全管理情况，研究解决日管控中发现的问题，形成每周场车安全排查治理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周排查制度。场车安全总监要每周至少组织一次风险隐患排查，分析研判场车使用安全管理情况，研究解决日管控中发现的问题，形成每周场车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使用单位落实使用安全主体责任监督管理规定》的规定，场车使用单位应当将主要负责人、场车安全总监和场车安全员的设立、调整情况，场车安全风险管控清单场车安全总监职责场车安全员守则以及场车安全总监、场车安全员提出的意见建议、报告和问题整改落实等履职情况予以记录并存档备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将主要负责人、场车安全总监和场车安全员的设立、调整情况，场车安全风险管控清单场车安全总监职责场车安全员守则以及场车安全总监、场车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18、根据《特种设备使用单位落实使用安全主体责任监督管理规定》的规定，监督抽查考核不合格，不再符合场车使用要求的，使用单位应当立即采取整改措施。（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《特种设备使用单位落实使用安全主体责任监督管理规定》监督抽查考核不合格，不再符合场车使用要求的，使用单位应当立即采取整改措施。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81—2022）的规定，旅游景区，指有明确管理边界，纳入风景游览区、公园、动物园、植物园范畴管理的区域。（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工厂厂区，指有明确管理边界，从事加工、组装等的制造厂厂区，港口(码头)，铁路货场和物流园区。</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旅游景区，指有明确管理边界，纳入风景游览区、公园、动物园、植物园范畴管理的区域。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81—2022）的规定，游乐场所，指有明确管理边界，纳入游乐场、主题乐园范畴管理的区域。（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工厂厂区，指有明确管理边界，从事加工、组装等的制造厂厂区，港口(码头)，铁路货场和物流园区。</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旅游景区，指有明确管理边界，纳入风景游览区、公园、动物园、植物园范畴管理的区域。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游乐场所，指有明确管理边界，纳入游乐场、主题乐园范畴管理的区域。</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81—2022）的规定，以下区域不属于旅游景区的是（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工厂厂区，指有明确管理边界，从事加工、组装等的制造厂厂区，港口(码头)，铁路货场和物流园区。</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旅游景区，指有明确管理边界，纳入风景游览区、公园、动物园、植物园范畴管理的区域。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81—2022）的规定，定期检验是指在场车生产单位或者（      ）单位进行自行检查的基础上，由经核准的特种设备检验机构依据《场车规程》对场车按照一定的周期进行的检验。B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81—2022）4.2.1.1  定期(首次)检验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定期检验是指在场车生产单位或者使用单位进行自行检查的基础上，由经核准的特种设备检验机构依据本规程对场车按照一定的周期进行的检验。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81—2022）的规定，在用叉车的定期检验每（      ）年1次。B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81—2022）4.2.1.2  定期检验周期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在用叉车的定期检验每2年1次；在用非公路用旅游观光车辆的定期检验每年1次。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81—2022）的规定，观光车辆的行驶路线中不得存在爆炸性环境，路面边沿3m(弯道处为4.5m)内有悬崖、深谷、深沟或水域的路段，应当（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81—2022）5.1.2  作业环境</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观光车辆的行驶路线中不得存在爆炸性环境，路面边沿3m(弯道处为4.5m)内有悬崖、深谷、深沟或水域的路段，应当设置防护能力与车辆相匹配的路侧护栏。存在陡坡、连续下坡、急弯、窄道、交岔口等特殊情况的路段，使用单位应当评估风险，根据需要设置相应的标志、标线、避险车道、减速丘、凸面镜等安全设施，或者采取限速、分流等管理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81—2022）的规定，改造是指改变原叉车车架结构、驾驶方式，动力方式、传动方式，或者改变叉车原（      ）或者载荷曲线的活动。D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81—2022）的规定，改造后，场车整车安全性能由（      ）单位负责。C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81—2022）3.5.2 改造后的产品质量合格证明</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改造后，场车整车安全性能由改造单位负责，改造单位应当按照3.4.2出具产品质量合格证明。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81—2022）的规定，场车改造、修理后，改造、修理单位应当按照要求完成检验，检验报告和相关技术资料应当移交（      ）单位存档。D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81—2022）3.5.4  改造与修理的检验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(1)场车改造、修理后，改造、修理单位应当按照3.3的要求完成检验，检验报告和相关技术资料应当移交使用单位存档；</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(2)场车改造后应当经首次检验合格，并且变更使用登记后方可投入使用。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（一）特种设备未取得许可生产、国家明令淘汰、已经报废或者达到报废条件，继续使用的；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（二）特种设备未经监督检验或者经检验、检测不合格，继续使用的；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（三）特种设备安全附件、安全保护装置缺失或者失灵，继续使用的；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（四）特种设备发生过事故或者有明显故障，未对其进行全面检查、消除事故隐患，继续使用的；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（五）特种设备超过规定参数、使用范围使用的；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《特种设备事故报告和调查处理导则》（TSG 03-2015）3.1.1事故发生单位的报告</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《特种设备事故报告和调查处理导则》（TSG 03-2015）3.1.1事故发生单位的报告</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14、根据《中华人民共和国特种设备安全法》的规定，特种设备进行改造、修理，按照规定需要变更使用登记的，应当办理（      ），方可继续使用。A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D、重新登记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《中华人民共和国特种设备安全法》第四十七条 特种设备进行改造、修理，按照规定需要变更使用登记的，应当办理变更登记，方可继续使用。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15、根据《特种设备安全监察条例》的规定，特种设备使用单位应当使用符合（      ）要求的特种设备。A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第二十四条　特种设备使用单位应当使用符合安全技术规范要求的特种设备。特种设备投入使用前，使用单位应当核对其是否附有本条例第十五条规定的相关文件。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16、根据《特种设备安全监察条例》的规定，特种设备不符合能效指标的，特种设备使用单位应当采取相应措施进行（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D、报废</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17、根据《特种设备使用管理规则》的规定，主要负责人是指特种设备使用单位的实际最高管理者，对其单位所使用的特种设备安全节能负总责，每（      ）至少组织召开一次安全调度会议。C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D、季度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《特种设备使用管理规则》主要负责人是指特种设备使用单位的实际最高管理者，对其单位所使用的特种设备安全节能负总责，每月至少组织召开一次安全调度会议。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18、根据《特种设备使用管理规则》的规定，按照特种设备使用管理规则要求设置安 全管理机构的使用单位安全管理负责人， （      ）取得相应的特种设备安全管理人员资格证书。B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D、根据需要</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19、根据《特种设备使用管理规则》的规定，高耗能特种设备使用单位应当配备（      ）管理人员，负责宣传贯彻特种设备节能的法律法规。D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《特种设备使用管理规则》高耗能特种设备使用单位应当配备节能管理人员，负责宣传贯彻特种设备节能的法律法规。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《特种设备作业人员监督管理办法》第二条  锅炉、压力容器（含气瓶）、压力管道、电梯、场车、客运索道、大型游乐设施、场（厂）内专用机动车辆等特种设备的作业人员及其相关管理人员统称特种设备作业人员。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23、根据《特种设备使用单位落实使用安全主体责任监督管理规定》的规定，场车使用单位应当根据本单位场车的数量、用途、使用环境等情况，配备场车安全总监和足够数量的场车安全员，并（      ）明确负责的场车安全员。C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《特种设备使用单位落实使用安全主体责任监督管理规定》场车使用单位应当根据本单位场车的数量、用途、使用环境等情况，配备场车安全总监和足够数量的场车安全员，并逐台明确负责的场车安全员。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24、根据《特种设备使用单位落实使用安全主体责任监督管理规定》的规定，场车使用单位应当建立基于场车（      ）防控的动态管理机制，结合本单位实际，落实自查要求，制定场车安全风险管控清单，建立健全日管控、周排查、月调度工作制度和机制。C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D、安全管理</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基于场车安全风险防控的动态管理机制，结合本单位实际，落实自查要求，制定场车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25、根据《特种设备使用单位落实使用安全主体责任监督管理规定》的规定，场车安全总监要每（      ）至少组织一次风险隐患排查，分析研判场车使用安全管理情况，研究解决日管控中发现的问题，形成每周场车安全排查治理报告。B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周排查制度。场车安全总监要每周至少组织一次风险隐患排查，分析研判场车使用安全管理情况，研究解决日管控中发现的问题，形成每周场车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26、根据《特种设备使用单位落实使用安全主体责任监督管理规定》的规定，场车使用单位主要负责人要每（      ）至少听取一次场车安全总监管理工作情况汇报，对当月场车安全日常管理、风险隐患排查治理等情况进行总结，对下个月重点工作作出调度安排，形成每月场车安全调度会议纪要。C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月调度制度。场车使用单位主要负责人要每月至少听取一次场车安全总监管理工作情况汇报，对当月场车安全日常管理、风险隐患排查治理等情况进行总结，对下个月重点工作作出调度安排，形成每月场车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《特种设备使用单位落实使用安全主体责任监督管理规定》场车使用单位应当为场车安全总监和场车安全员提供必要的工作条件、教育培训和岗位待遇，充分保障其依法履行职责。</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鼓励场车使用单位建立对场车安全总监和场车安全员的激励约束机制，对工作成效显著的给予表彰和奖励，对履职不到位的予以惩戒。</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市场监督管理部门在查处场车使用单位违法行为时，应当将场车使用单位落实安全主体责任情况作为判断其主观过错、违法情节、处罚幅度等考量的重要因素。</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场车使用单位及其主要负责人无正当理由未采纳场车安全总监和场车安全员依照本规定第一百三十六条提出的意见或者建议的，应当认为场车安全总监和场车安全员已经依法履职尽责，不予处罚。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主要负责人、场车安全总监、场车安全员未按规定要求落实使用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81—2022）的规定，非公路用旅游观光车辆(以下简称观光车辆)，指具有4个以上车轮、（      ）、座位数(含司机座位)不小于6且用于旅游观光运营服务的自行式乘用车辆，包括观光车和观光列车。D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A、有轨道无架线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B、非轨道有架线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C、有轨道有架线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D、非轨道无架线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81—2022）1.2.3  非公路用旅游观光车辆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非公路用旅游观光车辆(以下简称观光车辆)，指具有4个以上车轮、非轨道无架线、座位数(含司机座位)不小于6且用于旅游观光运营服务的自行式乘用车辆，包括观光车和观光列车。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81—2022）的规定，使用单位购置观光车辆时，保证观光车辆的最大行驶坡度能够满足使用单位行驶路线中的（      ）的要求，并且在销售合同中明确。C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A、平均坡度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C、最大坡度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D、最小坡度与最大坡度之和</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81—2022）5.1.1 使用单位的基本要求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使用单位应当遵守《特种设备使用管理规则》的规定，同时还应当符合以下要求：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(4)购置观光车辆时，保证观光车辆的最大行驶坡度能够满足使用单位行驶路线中的最大坡度的要求，并且在销售合同中明确；</w:t>
      </w: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172A27"/>
    <w:rsid w:val="00172A27"/>
    <w:rsid w:val="00572310"/>
    <w:rsid w:val="006D7B51"/>
    <w:rsid w:val="007B3905"/>
    <w:rsid w:val="008F75F9"/>
    <w:rsid w:val="009308FE"/>
    <w:rsid w:val="12126F0F"/>
    <w:rsid w:val="18A43CD5"/>
    <w:rsid w:val="1F4130C0"/>
    <w:rsid w:val="216817E6"/>
    <w:rsid w:val="245A1466"/>
    <w:rsid w:val="39FA01F5"/>
    <w:rsid w:val="40B51A50"/>
    <w:rsid w:val="4C5864D9"/>
    <w:rsid w:val="51FE1B1E"/>
    <w:rsid w:val="58D46270"/>
    <w:rsid w:val="647B4D4D"/>
    <w:rsid w:val="6F060E0B"/>
    <w:rsid w:val="721A2C2C"/>
    <w:rsid w:val="72D36533"/>
    <w:rsid w:val="75B74E17"/>
    <w:rsid w:val="78EF198E"/>
    <w:rsid w:val="79714D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heme="minorHAnsi" w:hAnsiTheme="minorHAnsi" w:eastAsiaTheme="minorEastAsia" w:cstheme="minorBidi"/>
      <w:kern w:val="2"/>
      <w:sz w:val="18"/>
      <w:szCs w:val="18"/>
    </w:rPr>
  </w:style>
  <w:style w:type="character" w:customStyle="1" w:styleId="8">
    <w:name w:val="页脚 Char"/>
    <w:basedOn w:val="6"/>
    <w:link w:val="3"/>
    <w:uiPriority w:val="0"/>
    <w:rPr>
      <w:rFonts w:asciiTheme="minorHAnsi" w:hAnsiTheme="minorHAnsi" w:eastAsiaTheme="minorEastAsia" w:cstheme="minorBidi"/>
      <w:kern w:val="2"/>
      <w:sz w:val="18"/>
      <w:szCs w:val="18"/>
    </w:rPr>
  </w:style>
  <w:style w:type="character" w:customStyle="1" w:styleId="9">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12201</Words>
  <Characters>12581</Characters>
  <Lines>10</Lines>
  <Paragraphs>26</Paragraphs>
  <TotalTime>16</TotalTime>
  <ScaleCrop>false</ScaleCrop>
  <LinksUpToDate>false</LinksUpToDate>
  <CharactersWithSpaces>13012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2024-06-23T14:44:45Z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