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eastAsia="zh-CN"/>
        </w:rPr>
        <w:t>黑龙江省市场监督管理局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  <w:t>2021年政府信息公开工作报告</w:t>
      </w: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按照《国务院办公厅政府信息与政务公开办公室关于印发〈中华人民共和国政府信息公开工作年度报告格式〉的通知》（国办公开办函〔2021〕30号）和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《黑龙江省2021年政务公开工作实施方案》有关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要求，根据《政府信息公开条例》有关规定，现就省市场监管局2021年政府信息公开情况报告如下：</w:t>
      </w:r>
    </w:p>
    <w:p>
      <w:pPr>
        <w:numPr>
          <w:ilvl w:val="0"/>
          <w:numId w:val="1"/>
        </w:numPr>
        <w:spacing w:line="240" w:lineRule="auto"/>
        <w:ind w:firstLine="614" w:firstLineChars="200"/>
        <w:rPr>
          <w:rFonts w:hint="eastAsia" w:ascii="黑体" w:hAnsi="宋体" w:eastAsia="黑体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（一）积极做好主动公开。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贯彻落实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《政府信息公开条例》规定和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《黑龙江省2021年政务公开工作实施方案》部署的各项任务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制发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《贯彻落实&lt;黑龙江省2021年政务公开工作实施方案&gt;工作台账》，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结合市场监管工作实际，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全面公开并及时更新应主动公开的政府信息，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力推进决策、执行、管理、服务和结果公开，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进一步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提升政务公开质量和实效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及时通过省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市场监管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官方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网站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（以下简称省局官网）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微信公众号、政务微博、政务快手号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发布权威信息，有效传播党和政府声音、解读市场监管政策、回应群众热切期待。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firstLine="61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2021年省市场监管局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主动公开政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府信息共计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9462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条。其中，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省局官网发布信息2665条，3个政务新媒体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发稿4466条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各级各类媒体发稿2331条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aps w:val="0"/>
          <w:vanish w:val="0"/>
          <w:color w:val="auto"/>
          <w:kern w:val="2"/>
          <w:sz w:val="32"/>
          <w:szCs w:val="32"/>
          <w:vertAlign w:val="baseline"/>
          <w:lang w:val="en-US" w:eastAsia="zh-CN" w:bidi="ar"/>
        </w:rPr>
        <w:t>及时发布更新市场监督管理部门主要实施的法律法规规章，局网现公示现行有效法律20部、行政法规56部、地方性法规9部、规章135部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制发《黑龙江省“十四五”市场监管规划》《黑龙江省“十四五”标准化建设发展规划》《黑龙江省“十四五”计量发展规划》，制发规范性文件8件，均同步公示了政策解读材料。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发布食品信息公告84期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不合格食品核查处置和情况的通告9期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不合格食品风险控制情况的通告8期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不合格食品风险控制和核查处置情况的通告1期。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发布12315数据分析报告4期。发布各类征求意见公告信息36期。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 w:bidi="ar-SA"/>
        </w:rPr>
        <w:t>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布2021年部门预算、2020年度部门决算、收费目录清单、政府购买服务指导性目录（试行）以及《黑龙江省市场监督管理局部门预决算信息公开管理暂行办法》等财务信息。</w:t>
      </w:r>
    </w:p>
    <w:p>
      <w:pPr>
        <w:numPr>
          <w:ilvl w:val="0"/>
          <w:numId w:val="0"/>
        </w:numPr>
        <w:spacing w:line="240" w:lineRule="auto"/>
        <w:ind w:firstLine="61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（二）依法办理依申请公开。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规范政府信息公开申请办理工作程序，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提升答复文书规范化水平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，依法依规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从严把握不予公开范围，对法定不予公开条款坚持最小化适用原则，保障公众合理信息需求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。2021年共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收到并办理依申请公开政府信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黑龙江省人大代表建议23件，黑龙江省政协提案16件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（三）拓宽信息公开平台。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省局官网政府信息公开页面栏目设置，明确内容保障责任部门和发布单位，对无法保证栏目更新时效性的栏目予以撤销或合并，方便用户更加明晰、直观、便捷查阅信息。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加强省局自媒体建设。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通过省局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微信公众号、政务微博、政务快手号等新媒体渠道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，以图表图解、简明问题、专家访谈等方式，重点解读社会影响大、群众关注度高、专业性较强的政策，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发布权威信息，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做到“用群众听得懂的话”去说“群众关心的事”。2021年，仅省局快手号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播发微视频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714条，总播放量达1.35亿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充分利用《食安龙江》栏目载体，及时发布食品安全领域最新信息及专家解读、消费提示，解读法规政策、科普防疫知识，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全年制作播出48期，在全国卫视同时段单期节目收视率排名第五。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策划制作“我为群众办实事”食品安全科普宣传专题等特别节目，集中开展系列宣传报道，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累计播发电视屏幕滚动字幕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420余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，广播公益宣传490余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全面运用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“黑龙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江政务服务网”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“信用中国（黑龙江）”“市场监管总局食品生产许可获证企业信息查询平台”和“黑龙江省食品生产许可监管追溯管理平台”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等平台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市场监管有关行政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许可审批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信息，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动态掌握办事进展，最大限度实现网络化、透明化办事。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优化政务服务事项办理渠道，进一步提升办事便利度，推进“办事不求人”。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依托黑龙江省一体化整政务服务平台，</w:t>
      </w:r>
      <w:r>
        <w:rPr>
          <w:rFonts w:hint="eastAsia" w:ascii="仿宋" w:hAnsi="仿宋" w:eastAsia="仿宋" w:cs="仿宋"/>
          <w:b w:val="0"/>
          <w:bCs w:val="0"/>
          <w:caps w:val="0"/>
          <w:vanish w:val="0"/>
          <w:color w:val="auto"/>
          <w:kern w:val="2"/>
          <w:sz w:val="32"/>
          <w:szCs w:val="32"/>
          <w:vertAlign w:val="baseline"/>
          <w:lang w:val="en-US" w:eastAsia="zh-CN" w:bidi="ar"/>
        </w:rPr>
        <w:t>将省市场监管局政务服务事项和公共服务事项共计164项全部纳入平台，其中158项可网上办理，省级全部行政许可89办理项实现全程“网上办”“零跑动”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。依托“全省事”APP，重点围绕企业群众办事高频事项，积极推进实现个体工商户登记3项、企业开办一网通办45项办理事项在政务服务平台移动端上线运行。积极开展线上线下“走流程”，优化12项公共服务事项办事指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（四）完善信息公开工作机制。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加强制度建设。制发《新闻发布工作管理暂行办法》《舆情工作管理办法及舆情应急处置预案》《部门预决算信息公开管理暂行办法》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bidi="ar-SA"/>
        </w:rPr>
        <w:t>《省市场监管局网上政务服务能力（政务服务“好差评”）建设管理工作规则（试行）》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等相关制度，规范政府信息公开管理工作程序。二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加强网站和政务新媒体管理。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严格执行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政府信息公开审核机制，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坚持“先审查、后公开”和“一事一审”原则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以安全准确为前提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，把好公开事项政策关、法律关、内容关和文字关，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严禁涉密信息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上网。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及时在全国政务新媒体信息报送系统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对政务新媒体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进行备案，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定期开展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省局官网和政务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新媒体建设运营情况自查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整改，形成长效工作机制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Style w:val="2"/>
        <w:spacing w:line="240" w:lineRule="auto"/>
        <w:ind w:firstLine="613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二、主动公开政府信息情况</w:t>
      </w:r>
    </w:p>
    <w:tbl>
      <w:tblPr>
        <w:tblStyle w:val="7"/>
        <w:tblW w:w="9340" w:type="dxa"/>
        <w:jc w:val="center"/>
        <w:tblInd w:w="-468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2332"/>
        <w:gridCol w:w="2332"/>
        <w:gridCol w:w="2345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本年制发件数</w:t>
            </w:r>
          </w:p>
        </w:tc>
        <w:tc>
          <w:tcPr>
            <w:tcW w:w="2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本年废止件数</w:t>
            </w:r>
          </w:p>
        </w:tc>
        <w:tc>
          <w:tcPr>
            <w:tcW w:w="2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现行有效件数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规章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行政规范性文件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第二十条第（五）项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3602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第二十条第（六）项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行政处罚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行政强制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3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第二十条第（八）项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本年收费金额（单位：万元）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行政事业性收费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5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0" w:lineRule="auto"/>
        <w:ind w:right="0" w:rightChars="0" w:firstLine="694" w:firstLineChars="200"/>
        <w:jc w:val="both"/>
        <w:rPr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  <w:highlight w:val="none"/>
        </w:rPr>
        <w:t>收到和处理政府信息公开申请情况</w:t>
      </w:r>
    </w:p>
    <w:tbl>
      <w:tblPr>
        <w:tblStyle w:val="7"/>
        <w:tblW w:w="9745" w:type="dxa"/>
        <w:jc w:val="center"/>
        <w:tblInd w:w="-345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834"/>
        <w:gridCol w:w="3324"/>
        <w:gridCol w:w="695"/>
        <w:gridCol w:w="695"/>
        <w:gridCol w:w="695"/>
        <w:gridCol w:w="695"/>
        <w:gridCol w:w="695"/>
        <w:gridCol w:w="695"/>
        <w:gridCol w:w="647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自然人</w:t>
            </w:r>
          </w:p>
        </w:tc>
        <w:tc>
          <w:tcPr>
            <w:tcW w:w="34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商业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企业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机构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社会公益组织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（三）不予公开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（四）无法提供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（五）不予处理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（六）其他处理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spacing w:line="240" w:lineRule="auto"/>
        <w:ind w:leftChars="200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  <w:t>四、</w:t>
      </w: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  <w:t>政府信息公开行政复议、行政诉讼情况</w:t>
      </w:r>
    </w:p>
    <w:tbl>
      <w:tblPr>
        <w:tblStyle w:val="7"/>
        <w:tblW w:w="7631" w:type="dxa"/>
        <w:jc w:val="center"/>
        <w:tblInd w:w="66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480"/>
        <w:gridCol w:w="507"/>
        <w:gridCol w:w="550"/>
        <w:gridCol w:w="525"/>
        <w:gridCol w:w="575"/>
        <w:gridCol w:w="438"/>
        <w:gridCol w:w="500"/>
        <w:gridCol w:w="475"/>
        <w:gridCol w:w="500"/>
        <w:gridCol w:w="562"/>
        <w:gridCol w:w="475"/>
        <w:gridCol w:w="488"/>
        <w:gridCol w:w="575"/>
        <w:gridCol w:w="575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4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行政复议</w:t>
            </w:r>
          </w:p>
        </w:tc>
        <w:tc>
          <w:tcPr>
            <w:tcW w:w="51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0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4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纠正</w:t>
            </w:r>
          </w:p>
        </w:tc>
        <w:tc>
          <w:tcPr>
            <w:tcW w:w="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24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未经复议直接起诉</w:t>
            </w:r>
          </w:p>
        </w:tc>
        <w:tc>
          <w:tcPr>
            <w:tcW w:w="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4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维持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纠正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审结</w:t>
            </w: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维持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纠正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审结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14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  <w:highlight w:val="none"/>
        </w:rPr>
        <w:t>存在的主要问题及改进情况</w:t>
      </w:r>
    </w:p>
    <w:p>
      <w:pPr>
        <w:numPr>
          <w:ilvl w:val="0"/>
          <w:numId w:val="0"/>
        </w:numPr>
        <w:spacing w:line="240" w:lineRule="auto"/>
        <w:ind w:firstLine="614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2021年，我局认真开展政府信息公开有关各项工作，取得一定工作成效，并结合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2020年度国务院办公厅政务公开第三方评估问题整改工作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举一反三开展自查，进行了有针对性的整改。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部分栏目信息更新及时性有待提高。我局已针对排查发现问题进行整改，并安排专人定期检查网站栏目更新情况，对无法保证栏目更新时效性的栏目，根据实际予以撤销或合并。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政策解读方式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不够多样化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，解读质量还有进一步提升空间。经排查,我局制发的规范性文件，均已同步公开政策解读材料。在原有解读的基础上，补充发布《【视频】&lt;黑龙江省线下实体店无理由退货指引（试行）&gt;解读》《一图读懂&lt;市场监管领域重大违法行为举报奖励暂行办法&gt;》《&lt;公平竞争审查制度实施细则&gt;解读》等视频解读、图片解读、问答解读，进一步丰富政策解读内容和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下一步，我局将着力做好以下工作。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聚焦中心工作和市场监管领域重大决策部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署，进一步拓展公开广度和深度，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结合市场主体需求，不断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推进行政决策、执行、管理、服务和结果全过程公开，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自觉接受社会各方面对行政权力的监督。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政策解读工作实效。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  <w:t>按照“谁起草、谁解读”的原则，严格履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行规范性文件与解读材料同步组织、同步审签、同步发布程序，拓宽政策性和规范性文件宣传解读的方式方法和质量层次，提高政策解读实效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进一步完善政务公开工作机制，加大培训力度，强化政府信息公开意识和工作能力，提升政务公开的制度化、标准化、信息化水平。</w:t>
      </w:r>
    </w:p>
    <w:p>
      <w:pPr>
        <w:numPr>
          <w:ilvl w:val="0"/>
          <w:numId w:val="2"/>
        </w:numPr>
        <w:spacing w:line="240" w:lineRule="auto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其他事项</w:t>
      </w:r>
    </w:p>
    <w:p>
      <w:pPr>
        <w:spacing w:line="240" w:lineRule="auto"/>
        <w:ind w:firstLine="614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本年度工作报告所列数据的统计期限为2021年1月1日至12月31日。2021年未收取政府信息公开信息处理费。</w:t>
      </w:r>
    </w:p>
    <w:p>
      <w:pPr>
        <w:spacing w:line="240" w:lineRule="auto"/>
        <w:ind w:firstLine="614" w:firstLineChars="200"/>
        <w:rPr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本年度报告的电子版可从黑龙江省市场监督管理局官方网站（http://amr.hlj.gov.cn/）阅览下载。           </w:t>
      </w:r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8F2F4B"/>
    <w:multiLevelType w:val="singleLevel"/>
    <w:tmpl w:val="D48F2F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CC793F"/>
    <w:multiLevelType w:val="singleLevel"/>
    <w:tmpl w:val="49CC793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81514"/>
    <w:rsid w:val="01653A23"/>
    <w:rsid w:val="0269695B"/>
    <w:rsid w:val="02A803F1"/>
    <w:rsid w:val="02CD5501"/>
    <w:rsid w:val="0550682B"/>
    <w:rsid w:val="05EC4642"/>
    <w:rsid w:val="08043991"/>
    <w:rsid w:val="08C97E23"/>
    <w:rsid w:val="0D0179E9"/>
    <w:rsid w:val="0D1247BB"/>
    <w:rsid w:val="15742980"/>
    <w:rsid w:val="18120EF5"/>
    <w:rsid w:val="220A7F59"/>
    <w:rsid w:val="23E808F3"/>
    <w:rsid w:val="26F81514"/>
    <w:rsid w:val="29431C16"/>
    <w:rsid w:val="2EC55B57"/>
    <w:rsid w:val="3356317F"/>
    <w:rsid w:val="33EE2480"/>
    <w:rsid w:val="37940123"/>
    <w:rsid w:val="3A214391"/>
    <w:rsid w:val="3EDC208B"/>
    <w:rsid w:val="428D61E5"/>
    <w:rsid w:val="4814144B"/>
    <w:rsid w:val="490B4BA3"/>
    <w:rsid w:val="4A832C4F"/>
    <w:rsid w:val="4CF33DCD"/>
    <w:rsid w:val="4EA42D70"/>
    <w:rsid w:val="516144F8"/>
    <w:rsid w:val="59FD7408"/>
    <w:rsid w:val="614B3DB2"/>
    <w:rsid w:val="64A700CB"/>
    <w:rsid w:val="64C91632"/>
    <w:rsid w:val="6BD15339"/>
    <w:rsid w:val="6D45083F"/>
    <w:rsid w:val="7018034E"/>
    <w:rsid w:val="71561D02"/>
    <w:rsid w:val="73FB632D"/>
    <w:rsid w:val="73FF3F89"/>
    <w:rsid w:val="75131CAD"/>
    <w:rsid w:val="78DA2CCC"/>
    <w:rsid w:val="7A4F694F"/>
    <w:rsid w:val="7A903976"/>
    <w:rsid w:val="7D13518C"/>
    <w:rsid w:val="7FDB2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560" w:lineRule="exact"/>
      <w:jc w:val="both"/>
      <w:textAlignment w:val="baseline"/>
    </w:pPr>
    <w:rPr>
      <w:rFonts w:ascii="Calibri" w:hAnsi="Calibri" w:eastAsia="宋体"/>
      <w:b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2022-01-11T08:29:00Z</dcterms:created>
  <dc:creator>张亚华</dc:creator>
  <cp:lastModifiedBy>王润东</cp:lastModifiedBy>
  <cp:lastPrinted>2022-01-21T08:46:00Z</cp:lastPrinted>
  <dcterms:modified xsi:type="dcterms:W3CDTF">2022-01-24T10:01:26Z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